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F13D3F" w:rsidRPr="00DF0395">
        <w:trPr>
          <w:trHeight w:val="284"/>
        </w:trPr>
        <w:tc>
          <w:tcPr>
            <w:tcW w:w="5541" w:type="dxa"/>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c>
          <w:tcPr>
            <w:tcW w:w="4382" w:type="dxa"/>
            <w:gridSpan w:val="2"/>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8A07C3" w:rsidP="0087342F">
            <w:pPr>
              <w:rPr>
                <w:rFonts w:cs="Arial"/>
                <w:szCs w:val="20"/>
              </w:rPr>
            </w:pPr>
            <w:r>
              <w:fldChar w:fldCharType="begin">
                <w:ffData>
                  <w:name w:val="Text3"/>
                  <w:enabled/>
                  <w:calcOnExit w:val="0"/>
                  <w:textInput>
                    <w:default w:val="${/*/n1:TenderFile/n1:referenceNumber}"/>
                  </w:textInput>
                </w:ffData>
              </w:fldChar>
            </w:r>
            <w:bookmarkStart w:id="0" w:name="Text3"/>
            <w:r>
              <w:t>LKOS 2026 - 228</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Baumaßnahme</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7"/>
                  <w:enabled/>
                  <w:calcOnExit w:val="0"/>
                  <w:textInput>
                    <w:default w:val="${/*/n1:TenderFile/n1:name}"/>
                  </w:textInput>
                </w:ffData>
              </w:fldChar>
            </w:r>
            <w:bookmarkStart w:id="1" w:name="Text7"/>
            <w:r>
              <w:t>Wiedervernässung im Hahlener Moor / Gehölz- und Erdbauarbeiten</w:t>
            </w:r>
            <w:bookmarkEnd w:id="1"/>
          </w:p>
        </w:tc>
      </w:tr>
      <w:tr w:rsidR="00F13D3F" w:rsidRPr="00DF0395" w:rsidTr="00FD4D20">
        <w:trPr>
          <w:trHeight w:val="237"/>
        </w:trPr>
        <w:tc>
          <w:tcPr>
            <w:tcW w:w="5541" w:type="dxa"/>
            <w:tcBorders>
              <w:top w:val="single" w:sz="4" w:space="0" w:color="808080"/>
            </w:tcBorders>
            <w:tcMar>
              <w:top w:w="28" w:type="dxa"/>
              <w:bottom w:w="28" w:type="dxa"/>
              <w:right w:w="28" w:type="dxa"/>
            </w:tcMar>
          </w:tcPr>
          <w:p w:rsidR="00F13D3F" w:rsidRPr="00DF0395" w:rsidRDefault="00C6592D" w:rsidP="0087342F">
            <w:pPr>
              <w:rPr>
                <w:rFonts w:cs="Arial"/>
                <w:szCs w:val="20"/>
              </w:rPr>
            </w:pPr>
            <w:r>
              <w:rPr>
                <w:rFonts w:cs="Arial"/>
                <w:szCs w:val="20"/>
              </w:rPr>
              <w:t>Leistung</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bookmarkStart w:id="2" w:name="_GoBack"/>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8"/>
                  <w:enabled/>
                  <w:calcOnExit w:val="0"/>
                  <w:textInput>
                    <w:default w:val="${/*/n1:AssignmentItem/n1:shortQualitativeDescription}"/>
                  </w:textInput>
                </w:ffData>
              </w:fldChar>
            </w:r>
            <w:bookmarkStart w:id="3" w:name="Text8"/>
            <w:r>
              <w:t>Das NSG Hahlener Moor befindet sich im Norden des Landkreises Osnabrück, rd. 15 km westlich von Quakenbrück. Es ist Bestandteil eines größeren Hochmoorkomplexes am Nordrand der Ankumer Höhe, der sich aus dem westlich gelegenen "Hahnenmoor" sowie dem östlich angrenzenden "Suddenmoor" zusammensetzt. Das Hahlener Moor ist maßgeblich durch einen bäuerlichen Torfstich geprägt. Im Zentrum der Fläche befindet sich ein Resttorfblock, auf dem eine offene Moorheide erhalten geblieben ist sowie ein weiterer, deutlich kleinerer Resttorfblock weiter nördlich. Angrenzend stehen Moorwälder mit Birken und Kiefern. Die Verwallungen sollen die abgetorften Bereiche um die Resttorfblöcke kammern und für mehr Wasserrückhalt in der Fläche sorgen. Eine Übersichtskarte mit Luftbild und ein digitales Höhenmodell (DGM1) sowie Planunterlagen der Entwürfe der zu erstellenden Verwallungen liegen anbei. Die Karten sind Teil der Ausschreibungsunterlagen. 
Die Maßnahmen sind Teil des EU-geförderten Projektes Optimierung des Wassermanagements im NSG Hahlener Moor, welches durch die Richtlinie BiolV gefördert wird.
Mit der Ausführung ist spätestens 14 Tage nach Zugang des Auftragsschreibens zu beginnen. Die Leistung ist am 28.02.2027 zu vollenden.</w:t>
            </w:r>
            <w:bookmarkEnd w:id="3"/>
            <w:bookmarkEnd w:id="2"/>
          </w:p>
        </w:tc>
      </w:tr>
    </w:tbl>
    <w:p w:rsidR="00F13D3F" w:rsidRDefault="00F13D3F" w:rsidP="00F13D3F">
      <w:pPr>
        <w:pStyle w:val="VHB-Kopfzeilentext"/>
      </w:pPr>
    </w:p>
    <w:p w:rsidR="00F13D3F" w:rsidRPr="002D47F2" w:rsidRDefault="00F13D3F" w:rsidP="00F13D3F">
      <w:pPr>
        <w:pStyle w:val="Oben"/>
      </w:pPr>
      <w:r w:rsidRPr="002D47F2">
        <w:t>Ergänzung der Aufforderung zur Abgabe eines Angebots</w:t>
      </w:r>
    </w:p>
    <w:p w:rsidR="00F13D3F" w:rsidRDefault="00F13D3F" w:rsidP="00F13D3F"/>
    <w:p w:rsidR="00F13D3F" w:rsidRDefault="00F13D3F" w:rsidP="009B583A">
      <w:pPr>
        <w:pStyle w:val="Oben"/>
        <w:rPr>
          <w:szCs w:val="19"/>
        </w:rPr>
      </w:pPr>
      <w:r w:rsidRPr="0053278C">
        <w:t>Bearbeitungsphasen, Datenaustausch, allgemeine Regelungen</w:t>
      </w:r>
    </w:p>
    <w:p w:rsidR="00F13D3F" w:rsidRPr="00F13D3F" w:rsidRDefault="00F13D3F" w:rsidP="009B583A">
      <w:pPr>
        <w:pStyle w:val="berschrift1"/>
        <w:rPr>
          <w:szCs w:val="19"/>
        </w:rPr>
      </w:pPr>
      <w:r w:rsidRPr="00F13D3F">
        <w:t>Bearbeitungsphasen</w:t>
      </w:r>
    </w:p>
    <w:p w:rsidR="00F13D3F" w:rsidRDefault="00F13D3F" w:rsidP="00F13D3F">
      <w:pPr>
        <w:pStyle w:val="Text"/>
        <w:rPr>
          <w:szCs w:val="19"/>
        </w:rPr>
      </w:pPr>
      <w:r>
        <w:t>Datenaustausch ist von der ausschreibenden Stelle / dem Auftraggeber vorgesehen für folgende Bearbeitungsphasen:</w:t>
      </w:r>
    </w:p>
    <w:p w:rsidR="00F13D3F" w:rsidRDefault="00F13D3F" w:rsidP="00F13D3F">
      <w:pPr>
        <w:pStyle w:val="Anstrich"/>
        <w:rPr>
          <w:szCs w:val="19"/>
        </w:rPr>
      </w:pPr>
      <w:r>
        <w:t>-</w:t>
      </w:r>
      <w:r>
        <w:tab/>
      </w:r>
      <w:r w:rsidRPr="0053278C">
        <w:t xml:space="preserve">Angebotsanforderung </w:t>
      </w:r>
    </w:p>
    <w:p w:rsidR="00F13D3F" w:rsidRDefault="00F13D3F" w:rsidP="00F13D3F">
      <w:pPr>
        <w:pStyle w:val="Anstrich"/>
        <w:rPr>
          <w:szCs w:val="19"/>
        </w:rPr>
      </w:pPr>
      <w:r>
        <w:t>-</w:t>
      </w:r>
      <w:r>
        <w:tab/>
      </w:r>
      <w:r w:rsidRPr="0053278C">
        <w:t xml:space="preserve">Angebotsabgabe </w:t>
      </w:r>
    </w:p>
    <w:p w:rsidR="00F13D3F" w:rsidRDefault="00F13D3F" w:rsidP="00F13D3F">
      <w:pPr>
        <w:pStyle w:val="Anstrich"/>
        <w:rPr>
          <w:szCs w:val="19"/>
        </w:rPr>
      </w:pPr>
      <w:r>
        <w:t>-</w:t>
      </w:r>
      <w:r>
        <w:tab/>
      </w:r>
      <w:r w:rsidRPr="0053278C">
        <w:t>Abrechnung</w:t>
      </w:r>
      <w:r>
        <w:t>.</w:t>
      </w:r>
    </w:p>
    <w:p w:rsidR="00F13D3F" w:rsidRPr="00F13D3F" w:rsidRDefault="00F13D3F" w:rsidP="009B583A">
      <w:pPr>
        <w:pStyle w:val="berschrift1"/>
      </w:pPr>
      <w:r w:rsidRPr="00F13D3F">
        <w:t>Datenaustausch</w:t>
      </w:r>
    </w:p>
    <w:p w:rsidR="00F13D3F" w:rsidRPr="0053278C" w:rsidRDefault="00F13D3F" w:rsidP="00F13D3F">
      <w:pPr>
        <w:pStyle w:val="Text"/>
      </w:pPr>
      <w:r>
        <w:t>Werden Angebotsdaten elektronisch ausgetauscht, erfolgt dies nach den Regelungen des Gemein</w:t>
      </w:r>
      <w:r>
        <w:softHyphen/>
        <w:t>samen Ausschusses Elektronik im Bauwesen</w:t>
      </w:r>
      <w:r w:rsidR="004C432D">
        <w:t xml:space="preserve"> </w:t>
      </w:r>
      <w:r w:rsidR="002B73AE">
        <w:t>–</w:t>
      </w:r>
      <w:r>
        <w:t xml:space="preserve"> GAEB</w:t>
      </w:r>
      <w:r w:rsidR="002B73AE">
        <w:t>, Schnittstelle</w:t>
      </w:r>
      <w:r>
        <w:t xml:space="preserve"> DA XML.</w:t>
      </w:r>
      <w:r w:rsidRPr="0053278C">
        <w:t xml:space="preserve"> Der Datenaustausch für die Abrech</w:t>
      </w:r>
      <w:r>
        <w:softHyphen/>
      </w:r>
      <w:r w:rsidRPr="0053278C">
        <w:t xml:space="preserve">nung ist nach den Verfahrensbeschreibungen der Regelungen für Elektronische Bauabrechnung durchzuführen. Der Datenaustausch nach anderen Regelungen (z.B. </w:t>
      </w:r>
      <w:proofErr w:type="spellStart"/>
      <w:r w:rsidRPr="0053278C">
        <w:t>Edifact</w:t>
      </w:r>
      <w:proofErr w:type="spellEnd"/>
      <w:r w:rsidRPr="0053278C">
        <w:t>) ist im Einzelfall zu vereinbaren.</w:t>
      </w:r>
    </w:p>
    <w:p w:rsidR="00F13D3F" w:rsidRDefault="00F13D3F" w:rsidP="00F13D3F">
      <w:pPr>
        <w:pStyle w:val="Text"/>
        <w:rPr>
          <w:szCs w:val="19"/>
        </w:rPr>
      </w:pPr>
      <w:r w:rsidRPr="0053278C">
        <w:t xml:space="preserve">Die Datenträger sind </w:t>
      </w:r>
      <w:r>
        <w:t xml:space="preserve">so </w:t>
      </w:r>
      <w:r w:rsidRPr="0053278C">
        <w:t>zu kennzeichnen</w:t>
      </w:r>
      <w:r>
        <w:t>, dass eine eindeutige Zuordnung zum Vergabeverfahren bzw. zum Vertrag gewährleistet ist</w:t>
      </w:r>
      <w:r w:rsidRPr="0053278C">
        <w:t>.</w:t>
      </w:r>
    </w:p>
    <w:p w:rsidR="00F13D3F" w:rsidRPr="00F13D3F" w:rsidRDefault="00F13D3F" w:rsidP="009B583A">
      <w:pPr>
        <w:pStyle w:val="berschrift1"/>
      </w:pPr>
      <w:r w:rsidRPr="00F13D3F">
        <w:t>Abweichungen zwischen Datenaustauschdateien und schriftlicher Fassung</w:t>
      </w:r>
    </w:p>
    <w:p w:rsidR="00F13D3F" w:rsidRDefault="00F13D3F" w:rsidP="00F13D3F">
      <w:pPr>
        <w:pStyle w:val="Text"/>
        <w:rPr>
          <w:szCs w:val="19"/>
        </w:rPr>
      </w:pPr>
      <w:r w:rsidRPr="0053278C">
        <w:t xml:space="preserve">Die </w:t>
      </w:r>
      <w:r>
        <w:t>Datenaustauschdateien</w:t>
      </w:r>
      <w:r w:rsidRPr="0053278C">
        <w:t xml:space="preserve"> gelten als Arbeitsmittel</w:t>
      </w:r>
      <w:r>
        <w:t xml:space="preserve">, es sei denn, sie werden im Rahmen eines </w:t>
      </w:r>
      <w:r w:rsidR="00C71603">
        <w:t>elektronischen</w:t>
      </w:r>
      <w:r>
        <w:t xml:space="preserve"> Vergabeverfahrens </w:t>
      </w:r>
      <w:r w:rsidR="00A97060">
        <w:t>über eine Vergabeplattform</w:t>
      </w:r>
      <w:r>
        <w:t xml:space="preserve"> ausgetauscht</w:t>
      </w:r>
      <w:r w:rsidRPr="0053278C">
        <w:t>. Bei Abwei</w:t>
      </w:r>
      <w:r>
        <w:softHyphen/>
      </w:r>
      <w:r w:rsidRPr="0053278C">
        <w:t xml:space="preserve">chungen zwischen </w:t>
      </w:r>
      <w:r>
        <w:t>den Datenaustauschdateien</w:t>
      </w:r>
      <w:r w:rsidRPr="0053278C">
        <w:t xml:space="preserve"> und der schriftlichen Fassung der Ver</w:t>
      </w:r>
      <w:r>
        <w:t>gabe</w:t>
      </w:r>
      <w:r w:rsidRPr="0053278C">
        <w:t>- oder Abrechnungsunterlagen gilt die schriftliche Fassung. Inhaltliche Unterschiede gegenüber de</w:t>
      </w:r>
      <w:r w:rsidR="00C71603">
        <w:t>m</w:t>
      </w:r>
      <w:r w:rsidRPr="0053278C">
        <w:t xml:space="preserve"> D</w:t>
      </w:r>
      <w:r w:rsidR="00206958">
        <w:t>a</w:t>
      </w:r>
      <w:r w:rsidRPr="0053278C">
        <w:t>tenträger sind vom Unternehmer in der schriftlichen Fassung zu kennzeichnen.</w:t>
      </w:r>
    </w:p>
    <w:p w:rsidR="00F13D3F" w:rsidRDefault="00F13D3F" w:rsidP="00F13D3F">
      <w:pPr>
        <w:pStyle w:val="Text"/>
        <w:rPr>
          <w:szCs w:val="19"/>
        </w:rPr>
      </w:pPr>
    </w:p>
    <w:sectPr w:rsidR="00F13D3F"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C83" w:rsidRDefault="00626C83">
      <w:r>
        <w:separator/>
      </w:r>
    </w:p>
    <w:p w:rsidR="00626C83" w:rsidRDefault="00626C83"/>
    <w:p w:rsidR="00626C83" w:rsidRDefault="00626C83"/>
  </w:endnote>
  <w:endnote w:type="continuationSeparator" w:id="0">
    <w:p w:rsidR="00626C83" w:rsidRDefault="00626C83">
      <w:r>
        <w:continuationSeparator/>
      </w:r>
    </w:p>
    <w:p w:rsidR="00626C83" w:rsidRDefault="00626C83"/>
    <w:p w:rsidR="00626C83" w:rsidRDefault="00626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F8534B" w:rsidRPr="00D6072E" w:rsidTr="00C6592D">
      <w:trPr>
        <w:cantSplit/>
        <w:trHeight w:hRule="exact" w:val="397"/>
      </w:trPr>
      <w:tc>
        <w:tcPr>
          <w:tcW w:w="147" w:type="dxa"/>
          <w:vAlign w:val="center"/>
        </w:tcPr>
        <w:p w:rsidR="00F8534B" w:rsidRPr="00D6072E" w:rsidRDefault="00F8534B" w:rsidP="00D6072E">
          <w:pPr>
            <w:jc w:val="center"/>
            <w:rPr>
              <w:b/>
              <w:sz w:val="16"/>
              <w:szCs w:val="16"/>
            </w:rPr>
          </w:pPr>
          <w:r w:rsidRPr="00D6072E">
            <w:rPr>
              <w:rFonts w:cs="Arial"/>
              <w:b/>
              <w:sz w:val="16"/>
              <w:szCs w:val="16"/>
            </w:rPr>
            <w:t>©</w:t>
          </w:r>
        </w:p>
      </w:tc>
      <w:tc>
        <w:tcPr>
          <w:tcW w:w="621" w:type="dxa"/>
          <w:vAlign w:val="center"/>
        </w:tcPr>
        <w:p w:rsidR="00F8534B" w:rsidRPr="00D6072E" w:rsidRDefault="00CB56C3" w:rsidP="00D6072E">
          <w:pPr>
            <w:jc w:val="center"/>
            <w:rPr>
              <w:b/>
              <w:sz w:val="16"/>
              <w:szCs w:val="16"/>
            </w:rPr>
          </w:pPr>
          <w:r>
            <w:rPr>
              <w:rFonts w:cs="Arial"/>
              <w:b/>
              <w:noProof/>
              <w:sz w:val="16"/>
              <w:szCs w:val="16"/>
            </w:rPr>
            <w:drawing>
              <wp:inline distT="0" distB="0" distL="0" distR="0" wp14:anchorId="0BCC88BE" wp14:editId="40A69AB8">
                <wp:extent cx="364490" cy="254000"/>
                <wp:effectExtent l="0" t="0" r="0" b="0"/>
                <wp:docPr id="2"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4000"/>
                        </a:xfrm>
                        <a:prstGeom prst="rect">
                          <a:avLst/>
                        </a:prstGeom>
                        <a:noFill/>
                        <a:ln>
                          <a:noFill/>
                        </a:ln>
                      </pic:spPr>
                    </pic:pic>
                  </a:graphicData>
                </a:graphic>
              </wp:inline>
            </w:drawing>
          </w:r>
        </w:p>
      </w:tc>
      <w:tc>
        <w:tcPr>
          <w:tcW w:w="7512" w:type="dxa"/>
          <w:vAlign w:val="center"/>
        </w:tcPr>
        <w:p w:rsidR="00F8534B" w:rsidRPr="00D6072E" w:rsidRDefault="00F8534B" w:rsidP="00707021">
          <w:pPr>
            <w:tabs>
              <w:tab w:val="left" w:pos="84"/>
            </w:tabs>
            <w:rPr>
              <w:rFonts w:cs="Arial"/>
              <w:b/>
              <w:sz w:val="16"/>
              <w:szCs w:val="16"/>
            </w:rPr>
          </w:pPr>
          <w:r w:rsidRPr="00D6072E">
            <w:rPr>
              <w:rFonts w:cs="Arial"/>
              <w:b/>
              <w:sz w:val="16"/>
              <w:szCs w:val="16"/>
            </w:rPr>
            <w:tab/>
            <w:t xml:space="preserve">VHB - Bund - Ausgabe </w:t>
          </w:r>
          <w:r w:rsidR="00206958">
            <w:rPr>
              <w:rFonts w:cs="Arial"/>
              <w:b/>
              <w:sz w:val="16"/>
              <w:szCs w:val="16"/>
            </w:rPr>
            <w:t>201</w:t>
          </w:r>
          <w:r w:rsidR="00707021">
            <w:rPr>
              <w:rFonts w:cs="Arial"/>
              <w:b/>
              <w:sz w:val="16"/>
              <w:szCs w:val="16"/>
            </w:rPr>
            <w:t>7</w:t>
          </w:r>
        </w:p>
      </w:tc>
      <w:tc>
        <w:tcPr>
          <w:tcW w:w="1440" w:type="dxa"/>
          <w:vAlign w:val="center"/>
        </w:tcPr>
        <w:p w:rsidR="00F8534B" w:rsidRPr="00D6072E" w:rsidRDefault="00F8534B"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p>
      </w:tc>
    </w:tr>
  </w:tbl>
  <w:p w:rsidR="00F8534B" w:rsidRPr="00046C8E" w:rsidRDefault="00F8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C83" w:rsidRDefault="00626C83">
      <w:r>
        <w:separator/>
      </w:r>
    </w:p>
    <w:p w:rsidR="00626C83" w:rsidRDefault="00626C83"/>
    <w:p w:rsidR="00626C83" w:rsidRDefault="00626C83"/>
  </w:footnote>
  <w:footnote w:type="continuationSeparator" w:id="0">
    <w:p w:rsidR="00626C83" w:rsidRDefault="00626C83">
      <w:r>
        <w:continuationSeparator/>
      </w:r>
    </w:p>
    <w:p w:rsidR="00626C83" w:rsidRDefault="00626C83"/>
    <w:p w:rsidR="00626C83" w:rsidRDefault="00626C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p w:rsidR="00F8534B" w:rsidRDefault="00F853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rsidP="00046C8E">
    <w:pPr>
      <w:pStyle w:val="Kopfzeile"/>
    </w:pPr>
    <w:r>
      <w:t>244</w:t>
    </w:r>
  </w:p>
  <w:p w:rsidR="00F8534B" w:rsidRPr="00AB4B05" w:rsidRDefault="00F8534B" w:rsidP="00AB4B05">
    <w:pPr>
      <w:pStyle w:val="UnterKopfzeile"/>
    </w:pPr>
    <w:r>
      <w:t>(Datenverarbeitung)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6DA6D5C2"/>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50CF3"/>
    <w:multiLevelType w:val="multilevel"/>
    <w:tmpl w:val="0FEC3EE6"/>
    <w:lvl w:ilvl="0">
      <w:start w:val="1"/>
      <w:numFmt w:val="decimal"/>
      <w:pStyle w:val="VHB-berschrift1"/>
      <w:lvlText w:val="%1"/>
      <w:lvlJc w:val="left"/>
      <w:pPr>
        <w:tabs>
          <w:tab w:val="num" w:pos="567"/>
        </w:tabs>
        <w:ind w:left="567" w:hanging="567"/>
      </w:pPr>
      <w:rPr>
        <w:rFonts w:hint="default"/>
        <w:sz w:val="20"/>
        <w:szCs w:val="20"/>
      </w:rPr>
    </w:lvl>
    <w:lvl w:ilvl="1">
      <w:start w:val="1"/>
      <w:numFmt w:val="decimal"/>
      <w:pStyle w:val="VHB-Standard2"/>
      <w:lvlText w:val="%1.%2"/>
      <w:lvlJc w:val="left"/>
      <w:pPr>
        <w:tabs>
          <w:tab w:val="num" w:pos="567"/>
        </w:tabs>
        <w:ind w:left="567" w:hanging="567"/>
      </w:pPr>
      <w:rPr>
        <w:rFonts w:hint="default"/>
      </w:rPr>
    </w:lvl>
    <w:lvl w:ilvl="2">
      <w:start w:val="1"/>
      <w:numFmt w:val="decimal"/>
      <w:pStyle w:val="VHBStandard2"/>
      <w:lvlText w:val="%1.%2.%3"/>
      <w:lvlJc w:val="left"/>
      <w:pPr>
        <w:tabs>
          <w:tab w:val="num" w:pos="851"/>
        </w:tabs>
        <w:ind w:left="851" w:hanging="851"/>
      </w:pPr>
      <w:rPr>
        <w:rFonts w:hint="default"/>
        <w:b w:val="0"/>
        <w:szCs w:val="20"/>
      </w:rPr>
    </w:lvl>
    <w:lvl w:ilvl="3">
      <w:start w:val="1"/>
      <w:numFmt w:val="decimal"/>
      <w:lvlText w:val="%1.%2.%3.%4"/>
      <w:lvlJc w:val="left"/>
      <w:pPr>
        <w:tabs>
          <w:tab w:val="num" w:pos="851"/>
        </w:tabs>
        <w:ind w:left="851" w:hanging="851"/>
      </w:pPr>
      <w:rPr>
        <w:rFonts w:hint="default"/>
        <w:b w:val="0"/>
        <w:szCs w:val="20"/>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8"/>
  </w:num>
  <w:num w:numId="4">
    <w:abstractNumId w:val="18"/>
  </w:num>
  <w:num w:numId="5">
    <w:abstractNumId w:val="10"/>
  </w:num>
  <w:num w:numId="6">
    <w:abstractNumId w:val="3"/>
  </w:num>
  <w:num w:numId="7">
    <w:abstractNumId w:val="14"/>
  </w:num>
  <w:num w:numId="8">
    <w:abstractNumId w:val="9"/>
  </w:num>
  <w:num w:numId="9">
    <w:abstractNumId w:val="17"/>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6"/>
  </w:num>
  <w:num w:numId="22">
    <w:abstractNumId w:val="0"/>
  </w:num>
  <w:num w:numId="23">
    <w:abstractNumId w:val="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214"/>
    <w:rsid w:val="000021DC"/>
    <w:rsid w:val="0000737B"/>
    <w:rsid w:val="0001134B"/>
    <w:rsid w:val="000114D3"/>
    <w:rsid w:val="00046C8E"/>
    <w:rsid w:val="0006675C"/>
    <w:rsid w:val="0007651F"/>
    <w:rsid w:val="00081305"/>
    <w:rsid w:val="000848E7"/>
    <w:rsid w:val="000A42AA"/>
    <w:rsid w:val="001028D9"/>
    <w:rsid w:val="00106076"/>
    <w:rsid w:val="00127C79"/>
    <w:rsid w:val="001426F7"/>
    <w:rsid w:val="0017495A"/>
    <w:rsid w:val="001A6205"/>
    <w:rsid w:val="001B705C"/>
    <w:rsid w:val="001C3E5C"/>
    <w:rsid w:val="001C509D"/>
    <w:rsid w:val="001E0C92"/>
    <w:rsid w:val="001F47CC"/>
    <w:rsid w:val="00206958"/>
    <w:rsid w:val="002517FD"/>
    <w:rsid w:val="00263542"/>
    <w:rsid w:val="002748DF"/>
    <w:rsid w:val="002B26AB"/>
    <w:rsid w:val="002B73AE"/>
    <w:rsid w:val="002C0F7B"/>
    <w:rsid w:val="002C403D"/>
    <w:rsid w:val="002E4302"/>
    <w:rsid w:val="002F4952"/>
    <w:rsid w:val="0030109A"/>
    <w:rsid w:val="00327698"/>
    <w:rsid w:val="003552CC"/>
    <w:rsid w:val="00355C7F"/>
    <w:rsid w:val="003A36E9"/>
    <w:rsid w:val="003A7389"/>
    <w:rsid w:val="003D3E99"/>
    <w:rsid w:val="003E2CD4"/>
    <w:rsid w:val="00402A1B"/>
    <w:rsid w:val="00424038"/>
    <w:rsid w:val="0045228F"/>
    <w:rsid w:val="00454471"/>
    <w:rsid w:val="0045726B"/>
    <w:rsid w:val="0047055A"/>
    <w:rsid w:val="00480ABD"/>
    <w:rsid w:val="004818FE"/>
    <w:rsid w:val="00492429"/>
    <w:rsid w:val="004C432D"/>
    <w:rsid w:val="004C43D4"/>
    <w:rsid w:val="004C5609"/>
    <w:rsid w:val="004E07A5"/>
    <w:rsid w:val="004E3711"/>
    <w:rsid w:val="00500C2B"/>
    <w:rsid w:val="00520D3B"/>
    <w:rsid w:val="005333C9"/>
    <w:rsid w:val="005575B0"/>
    <w:rsid w:val="00573601"/>
    <w:rsid w:val="00574488"/>
    <w:rsid w:val="00576C66"/>
    <w:rsid w:val="005A4489"/>
    <w:rsid w:val="005C301C"/>
    <w:rsid w:val="005C41DA"/>
    <w:rsid w:val="005F32A5"/>
    <w:rsid w:val="005F41CD"/>
    <w:rsid w:val="00605DD3"/>
    <w:rsid w:val="00606550"/>
    <w:rsid w:val="00607EE7"/>
    <w:rsid w:val="00614636"/>
    <w:rsid w:val="00626C83"/>
    <w:rsid w:val="00640260"/>
    <w:rsid w:val="00643351"/>
    <w:rsid w:val="0066119D"/>
    <w:rsid w:val="00667DCD"/>
    <w:rsid w:val="006A5AED"/>
    <w:rsid w:val="006A66F3"/>
    <w:rsid w:val="006B7CF1"/>
    <w:rsid w:val="006D70A3"/>
    <w:rsid w:val="006E7214"/>
    <w:rsid w:val="00707021"/>
    <w:rsid w:val="00724CA7"/>
    <w:rsid w:val="00734EDE"/>
    <w:rsid w:val="007633C2"/>
    <w:rsid w:val="0077704B"/>
    <w:rsid w:val="0078194F"/>
    <w:rsid w:val="00782E76"/>
    <w:rsid w:val="0078695C"/>
    <w:rsid w:val="007E61DB"/>
    <w:rsid w:val="0080520B"/>
    <w:rsid w:val="0081723D"/>
    <w:rsid w:val="00844E06"/>
    <w:rsid w:val="0087342F"/>
    <w:rsid w:val="008A07C3"/>
    <w:rsid w:val="008B1F06"/>
    <w:rsid w:val="008D764D"/>
    <w:rsid w:val="008F52AA"/>
    <w:rsid w:val="008F6547"/>
    <w:rsid w:val="00903F45"/>
    <w:rsid w:val="00910F0B"/>
    <w:rsid w:val="00962412"/>
    <w:rsid w:val="0097166A"/>
    <w:rsid w:val="009769C9"/>
    <w:rsid w:val="009A3215"/>
    <w:rsid w:val="009A33B4"/>
    <w:rsid w:val="009B583A"/>
    <w:rsid w:val="009C14BE"/>
    <w:rsid w:val="00A00872"/>
    <w:rsid w:val="00A5084B"/>
    <w:rsid w:val="00A75824"/>
    <w:rsid w:val="00A90C84"/>
    <w:rsid w:val="00A97060"/>
    <w:rsid w:val="00AB4B05"/>
    <w:rsid w:val="00AC56D5"/>
    <w:rsid w:val="00AC7F2D"/>
    <w:rsid w:val="00AD584D"/>
    <w:rsid w:val="00AE4AF0"/>
    <w:rsid w:val="00B003C3"/>
    <w:rsid w:val="00B14EF0"/>
    <w:rsid w:val="00B23C01"/>
    <w:rsid w:val="00B249C3"/>
    <w:rsid w:val="00B40909"/>
    <w:rsid w:val="00B434E5"/>
    <w:rsid w:val="00B61D2B"/>
    <w:rsid w:val="00B96ADB"/>
    <w:rsid w:val="00BA5E42"/>
    <w:rsid w:val="00BD130C"/>
    <w:rsid w:val="00BF2190"/>
    <w:rsid w:val="00C023E2"/>
    <w:rsid w:val="00C101BF"/>
    <w:rsid w:val="00C246AC"/>
    <w:rsid w:val="00C26124"/>
    <w:rsid w:val="00C2678D"/>
    <w:rsid w:val="00C30192"/>
    <w:rsid w:val="00C6592D"/>
    <w:rsid w:val="00C71603"/>
    <w:rsid w:val="00C764C5"/>
    <w:rsid w:val="00C96E57"/>
    <w:rsid w:val="00CB56C3"/>
    <w:rsid w:val="00CD54C7"/>
    <w:rsid w:val="00CF64C4"/>
    <w:rsid w:val="00D05C74"/>
    <w:rsid w:val="00D6072E"/>
    <w:rsid w:val="00D8049B"/>
    <w:rsid w:val="00D83B69"/>
    <w:rsid w:val="00DA276D"/>
    <w:rsid w:val="00DB1F7C"/>
    <w:rsid w:val="00DB6C0D"/>
    <w:rsid w:val="00DC2EA6"/>
    <w:rsid w:val="00DC7E08"/>
    <w:rsid w:val="00DD5025"/>
    <w:rsid w:val="00DE2F64"/>
    <w:rsid w:val="00DE420C"/>
    <w:rsid w:val="00E02FAA"/>
    <w:rsid w:val="00E1197E"/>
    <w:rsid w:val="00E322E9"/>
    <w:rsid w:val="00E3544A"/>
    <w:rsid w:val="00E578EB"/>
    <w:rsid w:val="00E6087B"/>
    <w:rsid w:val="00E65145"/>
    <w:rsid w:val="00E85EBB"/>
    <w:rsid w:val="00EA10EB"/>
    <w:rsid w:val="00EA4B37"/>
    <w:rsid w:val="00EC7AED"/>
    <w:rsid w:val="00ED2D93"/>
    <w:rsid w:val="00F133C2"/>
    <w:rsid w:val="00F13D3F"/>
    <w:rsid w:val="00F21669"/>
    <w:rsid w:val="00F32C49"/>
    <w:rsid w:val="00F85122"/>
    <w:rsid w:val="00F8534B"/>
    <w:rsid w:val="00F9088F"/>
    <w:rsid w:val="00F92CF7"/>
    <w:rsid w:val="00FA0151"/>
    <w:rsid w:val="00FB37F2"/>
    <w:rsid w:val="00FC0982"/>
    <w:rsid w:val="00FC1057"/>
    <w:rsid w:val="00FD03DA"/>
    <w:rsid w:val="00FD49AF"/>
    <w:rsid w:val="00FD4D2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18A14DF-2A1D-44FB-AFC9-D1F3BB53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F13D3F"/>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autoRedefine/>
    <w:rsid w:val="00F13D3F"/>
    <w:pPr>
      <w:spacing w:after="120"/>
      <w:contextualSpacing/>
    </w:pPr>
    <w:rPr>
      <w:rFonts w:cs="Arial"/>
      <w:b/>
      <w:szCs w:val="20"/>
    </w:rPr>
  </w:style>
  <w:style w:type="paragraph" w:customStyle="1" w:styleId="Anstrich">
    <w:name w:val="Anstrich"/>
    <w:basedOn w:val="Standard"/>
    <w:next w:val="Standard"/>
    <w:rsid w:val="00F13D3F"/>
    <w:pPr>
      <w:tabs>
        <w:tab w:val="left" w:pos="1021"/>
      </w:tabs>
      <w:spacing w:after="60"/>
      <w:ind w:left="1021" w:hanging="170"/>
      <w:contextualSpacing/>
      <w:jc w:val="both"/>
    </w:pPr>
  </w:style>
  <w:style w:type="paragraph" w:customStyle="1" w:styleId="Text">
    <w:name w:val="Text"/>
    <w:basedOn w:val="Standard"/>
    <w:next w:val="Standard"/>
    <w:link w:val="TextZchn"/>
    <w:rsid w:val="00F13D3F"/>
    <w:pPr>
      <w:spacing w:after="60"/>
      <w:ind w:left="851"/>
      <w:jc w:val="both"/>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F13D3F"/>
    <w:pPr>
      <w:numPr>
        <w:numId w:val="23"/>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1">
    <w:name w:val="VHB-Standard 1"/>
    <w:basedOn w:val="Standard"/>
    <w:autoRedefine/>
    <w:rsid w:val="00F13D3F"/>
    <w:pPr>
      <w:tabs>
        <w:tab w:val="left" w:pos="567"/>
      </w:tabs>
      <w:spacing w:after="60"/>
      <w:ind w:left="567"/>
      <w:jc w:val="both"/>
    </w:pPr>
    <w:rPr>
      <w:rFonts w:cs="Arial"/>
      <w:szCs w:val="20"/>
    </w:rPr>
  </w:style>
  <w:style w:type="paragraph" w:customStyle="1" w:styleId="VHBStandard2">
    <w:name w:val="VHB Standard 2"/>
    <w:basedOn w:val="Standard"/>
    <w:rsid w:val="00F13D3F"/>
    <w:pPr>
      <w:numPr>
        <w:ilvl w:val="2"/>
        <w:numId w:val="23"/>
      </w:numPr>
    </w:pPr>
  </w:style>
  <w:style w:type="paragraph" w:customStyle="1" w:styleId="VHB-Standard2">
    <w:name w:val="VHB-Standard 2"/>
    <w:autoRedefine/>
    <w:rsid w:val="00F13D3F"/>
    <w:pPr>
      <w:numPr>
        <w:ilvl w:val="1"/>
        <w:numId w:val="23"/>
      </w:numPr>
      <w:spacing w:before="120" w:after="60"/>
      <w:ind w:right="-57"/>
      <w:jc w:val="both"/>
    </w:pPr>
    <w:rPr>
      <w:rFonts w:ascii="Arial" w:hAnsi="Arial" w:cs="Arial"/>
    </w:rPr>
  </w:style>
  <w:style w:type="paragraph" w:customStyle="1" w:styleId="VHB-Aufzhlung">
    <w:name w:val="VHB-Aufzählung"/>
    <w:basedOn w:val="Liste"/>
    <w:autoRedefine/>
    <w:rsid w:val="00F13D3F"/>
    <w:pPr>
      <w:numPr>
        <w:numId w:val="24"/>
      </w:numPr>
      <w:spacing w:after="60"/>
      <w:contextualSpacing/>
    </w:pPr>
  </w:style>
  <w:style w:type="paragraph" w:styleId="Liste">
    <w:name w:val="List"/>
    <w:basedOn w:val="Standard"/>
    <w:rsid w:val="00F13D3F"/>
    <w:pPr>
      <w:ind w:left="283" w:hanging="283"/>
    </w:pPr>
  </w:style>
  <w:style w:type="paragraph" w:customStyle="1" w:styleId="Oben">
    <w:name w:val="Oben"/>
    <w:basedOn w:val="Standard"/>
    <w:next w:val="Standard"/>
    <w:rsid w:val="00F13D3F"/>
    <w:pPr>
      <w:keepNext/>
      <w:jc w:val="both"/>
    </w:pPr>
    <w:rPr>
      <w:b/>
      <w:szCs w:val="20"/>
    </w:rPr>
  </w:style>
  <w:style w:type="character" w:customStyle="1" w:styleId="TextZchn">
    <w:name w:val="Text Zchn"/>
    <w:link w:val="Text"/>
    <w:rsid w:val="00F13D3F"/>
    <w:rPr>
      <w:rFonts w:ascii="Arial" w:hAnsi="Arial"/>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244 - Datenverarbeitung</vt:lpstr>
    </vt:vector>
  </TitlesOfParts>
  <Company>BBR</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2017-10-18T06:51:00Z</dcterms:created>
  <dc:creator>Dorothea Fenner</dc:creator>
  <cp:keywords>Datenverarbeitung; GAEB</cp:keywords>
  <cp:lastModifiedBy>Matthäus Czerner</cp:lastModifiedBy>
  <cp:lastPrinted>2010-03-03T16:09:00Z</cp:lastPrinted>
  <dcterms:modified xsi:type="dcterms:W3CDTF">2018-06-21T07:21:00Z</dcterms:modified>
  <cp:revision>5</cp:revision>
  <dc:subject>Datenverarbeitung</dc:subject>
  <dc:title>244 - Datenverarbeitung</dc:title>
</cp:coreProperties>
</file>