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2026 - 228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Wiedervernässung im Hahlener Moor / Gehölz- und Erdbauarbeiten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Das NSG Hahlener Moor befindet sich im Norden des Landkreises Osnabrück, rd. 15 km westlich von Quakenbrück. Es ist Bestandteil eines größeren Hochmoorkomplexes am Nordrand der Ankumer Höhe, der sich aus dem westlich gelegenen "Hahnenmoor" sowie dem östlich angrenzenden "Suddenmoor" zusammensetzt. Das Hahlener Moor ist maßgeblich durch einen bäuerlichen Torfstich geprägt. Im Zentrum der Fläche befindet sich ein Resttorfblock, auf dem eine offene Moorheide erhalten geblieben ist sowie ein weiterer, deutlich kleinerer Resttorfblock weiter nördlich. Angrenzend stehen Moorwälder mit Birken und Kiefern. Die Verwallungen sollen die abgetorften Bereiche um die Resttorfblöcke kammern und für mehr Wasserrückhalt in der Fläche sorgen. Eine Übersichtskarte mit Luftbild und ein digitales Höhenmodell (DGM1) sowie Planunterlagen der Entwürfe der zu erstellenden Verwallungen liegen anbei. Die Karten sind Teil der Ausschreibungsunterlagen. 
Die Maßnahmen sind Teil des EU-geförderten Projektes Optimierung des Wassermanagements im NSG Hahlener Moor, welches durch die Richtlinie BiolV gefördert wird.
Mit der Ausführung ist spätestens 14 Tage nach Zugang des Auftragsschreibens zu beginnen. Die Leistung ist am 28.02.2027 zu vollenden.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