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F13D3F" w:rsidRPr="00DF0395">
        <w:trPr>
          <w:trHeight w:val="284"/>
        </w:trPr>
        <w:tc>
          <w:tcPr>
            <w:tcW w:w="5541" w:type="dxa"/>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c>
          <w:tcPr>
            <w:tcW w:w="4382" w:type="dxa"/>
            <w:gridSpan w:val="2"/>
            <w:tcBorders>
              <w:top w:val="nil"/>
              <w:left w:val="nil"/>
              <w:bottom w:val="single" w:sz="4" w:space="0" w:color="808080"/>
              <w:right w:val="nil"/>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bottom w:val="single" w:sz="4" w:space="0" w:color="808080"/>
              <w:right w:val="single" w:sz="4" w:space="0" w:color="808080"/>
            </w:tcBorders>
            <w:tcMar>
              <w:top w:w="28" w:type="dxa"/>
              <w:bottom w:w="28" w:type="dxa"/>
              <w:right w:w="28" w:type="dxa"/>
            </w:tcMar>
          </w:tcPr>
          <w:p w:rsidR="00F13D3F" w:rsidRPr="00DF0395" w:rsidRDefault="00F13D3F" w:rsidP="0087342F">
            <w:pPr>
              <w:rPr>
                <w:rFonts w:cs="Arial"/>
                <w:szCs w:val="20"/>
              </w:rPr>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F13D3F" w:rsidRPr="00DF0395" w:rsidRDefault="008A07C3" w:rsidP="0087342F">
            <w:pPr>
              <w:rPr>
                <w:rFonts w:cs="Arial"/>
                <w:szCs w:val="20"/>
              </w:rPr>
            </w:pPr>
            <w:r>
              <w:fldChar w:fldCharType="begin">
                <w:ffData>
                  <w:name w:val="Text3"/>
                  <w:enabled/>
                  <w:calcOnExit w:val="0"/>
                  <w:textInput>
                    <w:default w:val="${/*/n1:TenderFile/n1:referenceNumber}"/>
                  </w:textInput>
                </w:ffData>
              </w:fldChar>
            </w:r>
            <w:bookmarkStart w:id="0" w:name="Text3"/>
            <w:r>
              <w:t>LKOS 2026 - 308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5541" w:type="dxa"/>
            <w:tcBorders>
              <w:top w:val="single" w:sz="4" w:space="0" w:color="808080"/>
            </w:tcBorders>
            <w:tcMar>
              <w:top w:w="28" w:type="dxa"/>
              <w:bottom w:w="28" w:type="dxa"/>
              <w:right w:w="28" w:type="dxa"/>
            </w:tcMar>
          </w:tcPr>
          <w:p w:rsidR="00F13D3F" w:rsidRPr="00DF0395" w:rsidRDefault="00F13D3F" w:rsidP="0087342F">
            <w:pPr>
              <w:rPr>
                <w:rFonts w:cs="Arial"/>
                <w:szCs w:val="20"/>
              </w:rPr>
            </w:pPr>
            <w:r w:rsidRPr="00DF0395">
              <w:rPr>
                <w:rFonts w:cs="Arial"/>
                <w:szCs w:val="20"/>
              </w:rPr>
              <w:t>Baumaßnahme</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7"/>
                  <w:enabled/>
                  <w:calcOnExit w:val="0"/>
                  <w:textInput>
                    <w:default w:val="${/*/n1:TenderFile/n1:name}"/>
                  </w:textInput>
                </w:ffData>
              </w:fldChar>
            </w:r>
            <w:bookmarkStart w:id="1" w:name="Text7"/>
            <w:r>
              <w:t>Stadt Fürstenau / Neubau von zwei barrierefreien, öffentlichen Toiletten</w:t>
            </w:r>
            <w:bookmarkEnd w:id="1"/>
          </w:p>
        </w:tc>
      </w:tr>
      <w:tr w:rsidR="00F13D3F" w:rsidRPr="00DF0395" w:rsidTr="00FD4D20">
        <w:trPr>
          <w:trHeight w:val="237"/>
        </w:trPr>
        <w:tc>
          <w:tcPr>
            <w:tcW w:w="5541" w:type="dxa"/>
            <w:tcBorders>
              <w:top w:val="single" w:sz="4" w:space="0" w:color="808080"/>
            </w:tcBorders>
            <w:tcMar>
              <w:top w:w="28" w:type="dxa"/>
              <w:bottom w:w="28" w:type="dxa"/>
              <w:right w:w="28" w:type="dxa"/>
            </w:tcMar>
          </w:tcPr>
          <w:p w:rsidR="00F13D3F" w:rsidRPr="00DF0395" w:rsidRDefault="00C6592D" w:rsidP="0087342F">
            <w:pPr>
              <w:rPr>
                <w:rFonts w:cs="Arial"/>
                <w:szCs w:val="20"/>
              </w:rPr>
            </w:pPr>
            <w:r>
              <w:rPr>
                <w:rFonts w:cs="Arial"/>
                <w:szCs w:val="20"/>
              </w:rPr>
              <w:t>Leistung</w:t>
            </w:r>
          </w:p>
        </w:tc>
        <w:tc>
          <w:tcPr>
            <w:tcW w:w="4382" w:type="dxa"/>
            <w:gridSpan w:val="2"/>
            <w:tcBorders>
              <w:top w:val="single" w:sz="4" w:space="0" w:color="808080"/>
            </w:tcBorders>
            <w:tcMar>
              <w:top w:w="28" w:type="dxa"/>
              <w:bottom w:w="28" w:type="dxa"/>
              <w:right w:w="28" w:type="dxa"/>
            </w:tcMar>
          </w:tcPr>
          <w:p w:rsidR="00F13D3F" w:rsidRPr="00DF0395" w:rsidRDefault="00F13D3F" w:rsidP="0087342F">
            <w:pPr>
              <w:rPr>
                <w:rFonts w:cs="Arial"/>
                <w:szCs w:val="20"/>
              </w:rPr>
            </w:pPr>
          </w:p>
        </w:tc>
      </w:tr>
      <w:bookmarkStart w:id="2" w:name="_GoBack"/>
      <w:tr w:rsidR="00F13D3F" w:rsidRPr="00DF0395">
        <w:trPr>
          <w:trHeight w:val="284"/>
        </w:trPr>
        <w:tc>
          <w:tcPr>
            <w:tcW w:w="9923" w:type="dxa"/>
            <w:gridSpan w:val="3"/>
            <w:tcMar>
              <w:top w:w="28" w:type="dxa"/>
              <w:bottom w:w="28" w:type="dxa"/>
              <w:right w:w="28" w:type="dxa"/>
            </w:tcMar>
          </w:tcPr>
          <w:p w:rsidR="00F13D3F" w:rsidRPr="00DF0395" w:rsidRDefault="008A07C3" w:rsidP="0087342F">
            <w:pPr>
              <w:rPr>
                <w:rFonts w:cs="Arial"/>
                <w:szCs w:val="20"/>
              </w:rPr>
            </w:pPr>
            <w:r>
              <w:fldChar w:fldCharType="begin">
                <w:ffData>
                  <w:name w:val="Text8"/>
                  <w:enabled/>
                  <w:calcOnExit w:val="0"/>
                  <w:textInput>
                    <w:default w:val="${/*/n1:AssignmentItem/n1:shortQualitativeDescription}"/>
                  </w:textInput>
                </w:ffData>
              </w:fldChar>
            </w:r>
            <w:bookmarkStart w:id="3" w:name="Text8"/>
            <w:r>
              <w:t xml:space="preserve">Errichtet werden sollen zwei geschlechterneutrale, freistehende Toilettenanlagen als sogenannte Einraumanlagen mit barrierefreien Unisex-WCs an den vorgenannten Standorten. Die Anlagen sollen vandalismussicher sein und mit der Möglichkeit der Nachrüstung eines Bezahlsystems für die Zahlung mit EC-Karte.
Die Anlagen sollen als komplette, anschlussfertige Bauteile angeliefert, aufgestellt und in Betrieb genommen werden. Bauseits werden die notwendigen Anschlüsse erstellt. 
Die Betreibung der Anlagen erfolgt durch den Auftraggeber.
Vorgesehener Beginn der Baumaßnahme:
Der Aufstelltermin ist im Angebot aufzuführen. Die Lieferzeit (Zeitraum von der Bestellung bis zur Fertigstellung) einer Toiletteneinheit sollte maximal 16 Wochen betragen. 
Geplante Dauer der Baumaßnahme:
Für die Aufstellung und Inbetriebnahme sind 5 Werktage geplant.
</w:t>
            </w:r>
            <w:bookmarkEnd w:id="3"/>
            <w:bookmarkEnd w:id="2"/>
          </w:p>
        </w:tc>
      </w:tr>
    </w:tbl>
    <w:p w:rsidR="00F13D3F" w:rsidRDefault="00F13D3F" w:rsidP="00F13D3F">
      <w:pPr>
        <w:pStyle w:val="VHB-Kopfzeilentext"/>
      </w:pPr>
    </w:p>
    <w:p w:rsidR="00F13D3F" w:rsidRPr="002D47F2" w:rsidRDefault="00F13D3F" w:rsidP="00F13D3F">
      <w:pPr>
        <w:pStyle w:val="Oben"/>
      </w:pPr>
      <w:r w:rsidRPr="002D47F2">
        <w:t>Ergänzung der Aufforderung zur Abgabe eines Angebots</w:t>
      </w:r>
    </w:p>
    <w:p w:rsidR="00F13D3F" w:rsidRDefault="00F13D3F" w:rsidP="00F13D3F"/>
    <w:p w:rsidR="00F13D3F" w:rsidRDefault="00F13D3F" w:rsidP="009B583A">
      <w:pPr>
        <w:pStyle w:val="Oben"/>
        <w:rPr>
          <w:szCs w:val="19"/>
        </w:rPr>
      </w:pPr>
      <w:r w:rsidRPr="0053278C">
        <w:t>Bearbeitungsphasen, Datenaustausch, allgemeine Regelungen</w:t>
      </w:r>
    </w:p>
    <w:p w:rsidR="00F13D3F" w:rsidRPr="00F13D3F" w:rsidRDefault="00F13D3F" w:rsidP="009B583A">
      <w:pPr>
        <w:pStyle w:val="berschrift1"/>
        <w:rPr>
          <w:szCs w:val="19"/>
        </w:rPr>
      </w:pPr>
      <w:r w:rsidRPr="00F13D3F">
        <w:t>Bearbeitungsphasen</w:t>
      </w:r>
    </w:p>
    <w:p w:rsidR="00F13D3F" w:rsidRDefault="00F13D3F" w:rsidP="00F13D3F">
      <w:pPr>
        <w:pStyle w:val="Text"/>
        <w:rPr>
          <w:szCs w:val="19"/>
        </w:rPr>
      </w:pPr>
      <w:r>
        <w:t>Datenaustausch ist von der ausschreibenden Stelle / dem Auftraggeber vorgesehen für folgende Bearbeitungsphasen:</w:t>
      </w:r>
    </w:p>
    <w:p w:rsidR="00F13D3F" w:rsidRDefault="00F13D3F" w:rsidP="00F13D3F">
      <w:pPr>
        <w:pStyle w:val="Anstrich"/>
        <w:rPr>
          <w:szCs w:val="19"/>
        </w:rPr>
      </w:pPr>
      <w:r>
        <w:t>-</w:t>
      </w:r>
      <w:r>
        <w:tab/>
      </w:r>
      <w:r w:rsidRPr="0053278C">
        <w:t xml:space="preserve">Angebotsanforderung </w:t>
      </w:r>
    </w:p>
    <w:p w:rsidR="00F13D3F" w:rsidRDefault="00F13D3F" w:rsidP="00F13D3F">
      <w:pPr>
        <w:pStyle w:val="Anstrich"/>
        <w:rPr>
          <w:szCs w:val="19"/>
        </w:rPr>
      </w:pPr>
      <w:r>
        <w:t>-</w:t>
      </w:r>
      <w:r>
        <w:tab/>
      </w:r>
      <w:r w:rsidRPr="0053278C">
        <w:t xml:space="preserve">Angebotsabgabe </w:t>
      </w:r>
    </w:p>
    <w:p w:rsidR="00F13D3F" w:rsidRDefault="00F13D3F" w:rsidP="00F13D3F">
      <w:pPr>
        <w:pStyle w:val="Anstrich"/>
        <w:rPr>
          <w:szCs w:val="19"/>
        </w:rPr>
      </w:pPr>
      <w:r>
        <w:t>-</w:t>
      </w:r>
      <w:r>
        <w:tab/>
      </w:r>
      <w:r w:rsidRPr="0053278C">
        <w:t>Abrechnung</w:t>
      </w:r>
      <w:r>
        <w:t>.</w:t>
      </w:r>
    </w:p>
    <w:p w:rsidR="00F13D3F" w:rsidRPr="00F13D3F" w:rsidRDefault="00F13D3F" w:rsidP="009B583A">
      <w:pPr>
        <w:pStyle w:val="berschrift1"/>
      </w:pPr>
      <w:r w:rsidRPr="00F13D3F">
        <w:t>Datenaustausch</w:t>
      </w:r>
    </w:p>
    <w:p w:rsidR="00F13D3F" w:rsidRPr="0053278C" w:rsidRDefault="00F13D3F" w:rsidP="00F13D3F">
      <w:pPr>
        <w:pStyle w:val="Text"/>
      </w:pPr>
      <w:r>
        <w:t>Werden Angebotsdaten elektronisch ausgetauscht, erfolgt dies nach den Regelungen des Gemein</w:t>
      </w:r>
      <w:r>
        <w:softHyphen/>
        <w:t>samen Ausschusses Elektronik im Bauwesen</w:t>
      </w:r>
      <w:r w:rsidR="004C432D">
        <w:t xml:space="preserve"> </w:t>
      </w:r>
      <w:r w:rsidR="002B73AE">
        <w:t>–</w:t>
      </w:r>
      <w:r>
        <w:t xml:space="preserve"> GAEB</w:t>
      </w:r>
      <w:r w:rsidR="002B73AE">
        <w:t>, Schnittstelle</w:t>
      </w:r>
      <w:r>
        <w:t xml:space="preserve"> DA XML.</w:t>
      </w:r>
      <w:r w:rsidRPr="0053278C">
        <w:t xml:space="preserve"> Der Datenaustausch für die Abrech</w:t>
      </w:r>
      <w:r>
        <w:softHyphen/>
      </w:r>
      <w:r w:rsidRPr="0053278C">
        <w:t xml:space="preserve">nung ist nach den Verfahrensbeschreibungen der Regelungen für Elektronische Bauabrechnung durchzuführen. Der Datenaustausch nach anderen Regelungen (z.B. </w:t>
      </w:r>
      <w:proofErr w:type="spellStart"/>
      <w:r w:rsidRPr="0053278C">
        <w:t>Edifact</w:t>
      </w:r>
      <w:proofErr w:type="spellEnd"/>
      <w:r w:rsidRPr="0053278C">
        <w:t>) ist im Einzelfall zu vereinbaren.</w:t>
      </w:r>
    </w:p>
    <w:p w:rsidR="00F13D3F" w:rsidRDefault="00F13D3F" w:rsidP="00F13D3F">
      <w:pPr>
        <w:pStyle w:val="Text"/>
        <w:rPr>
          <w:szCs w:val="19"/>
        </w:rPr>
      </w:pPr>
      <w:r w:rsidRPr="0053278C">
        <w:t xml:space="preserve">Die Datenträger sind </w:t>
      </w:r>
      <w:r>
        <w:t xml:space="preserve">so </w:t>
      </w:r>
      <w:r w:rsidRPr="0053278C">
        <w:t>zu kennzeichnen</w:t>
      </w:r>
      <w:r>
        <w:t>, dass eine eindeutige Zuordnung zum Vergabeverfahren bzw. zum Vertrag gewährleistet ist</w:t>
      </w:r>
      <w:r w:rsidRPr="0053278C">
        <w:t>.</w:t>
      </w:r>
    </w:p>
    <w:p w:rsidR="00F13D3F" w:rsidRPr="00F13D3F" w:rsidRDefault="00F13D3F" w:rsidP="009B583A">
      <w:pPr>
        <w:pStyle w:val="berschrift1"/>
      </w:pPr>
      <w:r w:rsidRPr="00F13D3F">
        <w:t>Abweichungen zwischen Datenaustauschdateien und schriftlicher Fassung</w:t>
      </w:r>
    </w:p>
    <w:p w:rsidR="00F13D3F" w:rsidRDefault="00F13D3F" w:rsidP="00F13D3F">
      <w:pPr>
        <w:pStyle w:val="Text"/>
        <w:rPr>
          <w:szCs w:val="19"/>
        </w:rPr>
      </w:pPr>
      <w:r w:rsidRPr="0053278C">
        <w:t xml:space="preserve">Die </w:t>
      </w:r>
      <w:r>
        <w:t>Datenaustauschdateien</w:t>
      </w:r>
      <w:r w:rsidRPr="0053278C">
        <w:t xml:space="preserve"> gelten als Arbeitsmittel</w:t>
      </w:r>
      <w:r>
        <w:t xml:space="preserve">, es sei denn, sie werden im Rahmen eines </w:t>
      </w:r>
      <w:r w:rsidR="00C71603">
        <w:t>elektronischen</w:t>
      </w:r>
      <w:r>
        <w:t xml:space="preserve"> Vergabeverfahrens </w:t>
      </w:r>
      <w:r w:rsidR="00A97060">
        <w:t>über eine Vergabeplattform</w:t>
      </w:r>
      <w:r>
        <w:t xml:space="preserve"> ausgetauscht</w:t>
      </w:r>
      <w:r w:rsidRPr="0053278C">
        <w:t>. Bei Abwei</w:t>
      </w:r>
      <w:r>
        <w:softHyphen/>
      </w:r>
      <w:r w:rsidRPr="0053278C">
        <w:t xml:space="preserve">chungen zwischen </w:t>
      </w:r>
      <w:r>
        <w:t>den Datenaustauschdateien</w:t>
      </w:r>
      <w:r w:rsidRPr="0053278C">
        <w:t xml:space="preserve"> und der schriftlichen Fassung der Ver</w:t>
      </w:r>
      <w:r>
        <w:t>gabe</w:t>
      </w:r>
      <w:r w:rsidRPr="0053278C">
        <w:t>- oder Abrechnungsunterlagen gilt die schriftliche Fassung. Inhaltliche Unterschiede gegenüber de</w:t>
      </w:r>
      <w:r w:rsidR="00C71603">
        <w:t>m</w:t>
      </w:r>
      <w:r w:rsidRPr="0053278C">
        <w:t xml:space="preserve"> D</w:t>
      </w:r>
      <w:r w:rsidR="00206958">
        <w:t>a</w:t>
      </w:r>
      <w:r w:rsidRPr="0053278C">
        <w:t>tenträger sind vom Unternehmer in der schriftlichen Fassung zu kennzeichnen.</w:t>
      </w:r>
    </w:p>
    <w:p w:rsidR="00F13D3F" w:rsidRDefault="00F13D3F" w:rsidP="00F13D3F">
      <w:pPr>
        <w:pStyle w:val="Text"/>
        <w:rPr>
          <w:szCs w:val="19"/>
        </w:rPr>
      </w:pPr>
    </w:p>
    <w:sectPr w:rsidR="00F13D3F"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6C83" w:rsidRDefault="00626C83">
      <w:r>
        <w:separator/>
      </w:r>
    </w:p>
    <w:p w:rsidR="00626C83" w:rsidRDefault="00626C83"/>
    <w:p w:rsidR="00626C83" w:rsidRDefault="00626C83"/>
  </w:endnote>
  <w:endnote w:type="continuationSeparator" w:id="0">
    <w:p w:rsidR="00626C83" w:rsidRDefault="00626C83">
      <w:r>
        <w:continuationSeparator/>
      </w:r>
    </w:p>
    <w:p w:rsidR="00626C83" w:rsidRDefault="00626C83"/>
    <w:p w:rsidR="00626C83" w:rsidRDefault="00626C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F8534B" w:rsidRPr="00D6072E" w:rsidTr="00C6592D">
      <w:trPr>
        <w:cantSplit/>
        <w:trHeight w:hRule="exact" w:val="397"/>
      </w:trPr>
      <w:tc>
        <w:tcPr>
          <w:tcW w:w="147" w:type="dxa"/>
          <w:vAlign w:val="center"/>
        </w:tcPr>
        <w:p w:rsidR="00F8534B" w:rsidRPr="00D6072E" w:rsidRDefault="00F8534B" w:rsidP="00D6072E">
          <w:pPr>
            <w:jc w:val="center"/>
            <w:rPr>
              <w:b/>
              <w:sz w:val="16"/>
              <w:szCs w:val="16"/>
            </w:rPr>
          </w:pPr>
          <w:r w:rsidRPr="00D6072E">
            <w:rPr>
              <w:rFonts w:cs="Arial"/>
              <w:b/>
              <w:sz w:val="16"/>
              <w:szCs w:val="16"/>
            </w:rPr>
            <w:t>©</w:t>
          </w:r>
        </w:p>
      </w:tc>
      <w:tc>
        <w:tcPr>
          <w:tcW w:w="621" w:type="dxa"/>
          <w:vAlign w:val="center"/>
        </w:tcPr>
        <w:p w:rsidR="00F8534B" w:rsidRPr="00D6072E" w:rsidRDefault="00CB56C3" w:rsidP="00D6072E">
          <w:pPr>
            <w:jc w:val="center"/>
            <w:rPr>
              <w:b/>
              <w:sz w:val="16"/>
              <w:szCs w:val="16"/>
            </w:rPr>
          </w:pPr>
          <w:r>
            <w:rPr>
              <w:rFonts w:cs="Arial"/>
              <w:b/>
              <w:noProof/>
              <w:sz w:val="16"/>
              <w:szCs w:val="16"/>
            </w:rPr>
            <w:drawing>
              <wp:inline distT="0" distB="0" distL="0" distR="0" wp14:anchorId="0BCC88BE" wp14:editId="40A69AB8">
                <wp:extent cx="364490" cy="254000"/>
                <wp:effectExtent l="0" t="0" r="0" b="0"/>
                <wp:docPr id="2" name="Bild 1" descr="Bundesadler mit VHB-Schriftzug zur Identifizierung als Formblatt des Vergabe- und Vertragshandbuches für Baumaßnahmen des Bundes" title="VHB-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4490" cy="254000"/>
                        </a:xfrm>
                        <a:prstGeom prst="rect">
                          <a:avLst/>
                        </a:prstGeom>
                        <a:noFill/>
                        <a:ln>
                          <a:noFill/>
                        </a:ln>
                      </pic:spPr>
                    </pic:pic>
                  </a:graphicData>
                </a:graphic>
              </wp:inline>
            </w:drawing>
          </w:r>
        </w:p>
      </w:tc>
      <w:tc>
        <w:tcPr>
          <w:tcW w:w="7512" w:type="dxa"/>
          <w:vAlign w:val="center"/>
        </w:tcPr>
        <w:p w:rsidR="00F8534B" w:rsidRPr="00D6072E" w:rsidRDefault="00F8534B" w:rsidP="00707021">
          <w:pPr>
            <w:tabs>
              <w:tab w:val="left" w:pos="84"/>
            </w:tabs>
            <w:rPr>
              <w:rFonts w:cs="Arial"/>
              <w:b/>
              <w:sz w:val="16"/>
              <w:szCs w:val="16"/>
            </w:rPr>
          </w:pPr>
          <w:r w:rsidRPr="00D6072E">
            <w:rPr>
              <w:rFonts w:cs="Arial"/>
              <w:b/>
              <w:sz w:val="16"/>
              <w:szCs w:val="16"/>
            </w:rPr>
            <w:tab/>
            <w:t xml:space="preserve">VHB - Bund - Ausgabe </w:t>
          </w:r>
          <w:r w:rsidR="00206958">
            <w:rPr>
              <w:rFonts w:cs="Arial"/>
              <w:b/>
              <w:sz w:val="16"/>
              <w:szCs w:val="16"/>
            </w:rPr>
            <w:t>201</w:t>
          </w:r>
          <w:r w:rsidR="00707021">
            <w:rPr>
              <w:rFonts w:cs="Arial"/>
              <w:b/>
              <w:sz w:val="16"/>
              <w:szCs w:val="16"/>
            </w:rPr>
            <w:t>7</w:t>
          </w:r>
        </w:p>
      </w:tc>
      <w:tc>
        <w:tcPr>
          <w:tcW w:w="1440" w:type="dxa"/>
          <w:vAlign w:val="center"/>
        </w:tcPr>
        <w:p w:rsidR="00F8534B" w:rsidRPr="00D6072E" w:rsidRDefault="00F8534B"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9B583A">
            <w:rPr>
              <w:rFonts w:cs="Arial"/>
              <w:b/>
              <w:noProof/>
              <w:snapToGrid w:val="0"/>
              <w:sz w:val="16"/>
              <w:szCs w:val="16"/>
            </w:rPr>
            <w:t>1</w:t>
          </w:r>
          <w:r w:rsidRPr="00D6072E">
            <w:rPr>
              <w:rFonts w:cs="Arial"/>
              <w:b/>
              <w:snapToGrid w:val="0"/>
              <w:sz w:val="16"/>
              <w:szCs w:val="16"/>
            </w:rPr>
            <w:fldChar w:fldCharType="end"/>
          </w:r>
        </w:p>
      </w:tc>
    </w:tr>
  </w:tbl>
  <w:p w:rsidR="00F8534B" w:rsidRPr="00046C8E" w:rsidRDefault="00F8534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6C83" w:rsidRDefault="00626C83">
      <w:r>
        <w:separator/>
      </w:r>
    </w:p>
    <w:p w:rsidR="00626C83" w:rsidRDefault="00626C83"/>
    <w:p w:rsidR="00626C83" w:rsidRDefault="00626C83"/>
  </w:footnote>
  <w:footnote w:type="continuationSeparator" w:id="0">
    <w:p w:rsidR="00626C83" w:rsidRDefault="00626C83">
      <w:r>
        <w:continuationSeparator/>
      </w:r>
    </w:p>
    <w:p w:rsidR="00626C83" w:rsidRDefault="00626C83"/>
    <w:p w:rsidR="00626C83" w:rsidRDefault="00626C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p w:rsidR="00F8534B" w:rsidRDefault="00F8534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534B" w:rsidRDefault="00F8534B" w:rsidP="00046C8E">
    <w:pPr>
      <w:pStyle w:val="Kopfzeile"/>
    </w:pPr>
    <w:r>
      <w:t>244</w:t>
    </w:r>
  </w:p>
  <w:p w:rsidR="00F8534B" w:rsidRPr="00AB4B05" w:rsidRDefault="00F8534B" w:rsidP="00AB4B05">
    <w:pPr>
      <w:pStyle w:val="UnterKopfzeile"/>
    </w:pPr>
    <w:r>
      <w:t>(Datenverarbeitung)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6DA6D5C2"/>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650CF3"/>
    <w:multiLevelType w:val="multilevel"/>
    <w:tmpl w:val="0FEC3EE6"/>
    <w:lvl w:ilvl="0">
      <w:start w:val="1"/>
      <w:numFmt w:val="decimal"/>
      <w:pStyle w:val="VHB-berschrift1"/>
      <w:lvlText w:val="%1"/>
      <w:lvlJc w:val="left"/>
      <w:pPr>
        <w:tabs>
          <w:tab w:val="num" w:pos="567"/>
        </w:tabs>
        <w:ind w:left="567" w:hanging="567"/>
      </w:pPr>
      <w:rPr>
        <w:rFonts w:hint="default"/>
        <w:sz w:val="20"/>
        <w:szCs w:val="20"/>
      </w:rPr>
    </w:lvl>
    <w:lvl w:ilvl="1">
      <w:start w:val="1"/>
      <w:numFmt w:val="decimal"/>
      <w:pStyle w:val="VHB-Standard2"/>
      <w:lvlText w:val="%1.%2"/>
      <w:lvlJc w:val="left"/>
      <w:pPr>
        <w:tabs>
          <w:tab w:val="num" w:pos="567"/>
        </w:tabs>
        <w:ind w:left="567" w:hanging="567"/>
      </w:pPr>
      <w:rPr>
        <w:rFonts w:hint="default"/>
      </w:rPr>
    </w:lvl>
    <w:lvl w:ilvl="2">
      <w:start w:val="1"/>
      <w:numFmt w:val="decimal"/>
      <w:pStyle w:val="VHBStandard2"/>
      <w:lvlText w:val="%1.%2.%3"/>
      <w:lvlJc w:val="left"/>
      <w:pPr>
        <w:tabs>
          <w:tab w:val="num" w:pos="851"/>
        </w:tabs>
        <w:ind w:left="851" w:hanging="851"/>
      </w:pPr>
      <w:rPr>
        <w:rFonts w:hint="default"/>
        <w:b w:val="0"/>
        <w:szCs w:val="20"/>
      </w:rPr>
    </w:lvl>
    <w:lvl w:ilvl="3">
      <w:start w:val="1"/>
      <w:numFmt w:val="decimal"/>
      <w:lvlText w:val="%1.%2.%3.%4"/>
      <w:lvlJc w:val="left"/>
      <w:pPr>
        <w:tabs>
          <w:tab w:val="num" w:pos="851"/>
        </w:tabs>
        <w:ind w:left="851" w:hanging="851"/>
      </w:pPr>
      <w:rPr>
        <w:rFonts w:hint="default"/>
        <w:b w:val="0"/>
        <w:szCs w:val="20"/>
      </w:rPr>
    </w:lvl>
    <w:lvl w:ilvl="4">
      <w:start w:val="1"/>
      <w:numFmt w:val="decimal"/>
      <w:lvlText w:val="%1.%2.%3.%4.%5."/>
      <w:lvlJc w:val="left"/>
      <w:pPr>
        <w:tabs>
          <w:tab w:val="num" w:pos="851"/>
        </w:tabs>
        <w:ind w:left="851" w:hanging="851"/>
      </w:pPr>
      <w:rPr>
        <w:rFonts w:hint="default"/>
      </w:rPr>
    </w:lvl>
    <w:lvl w:ilvl="5">
      <w:start w:val="1"/>
      <w:numFmt w:val="decimal"/>
      <w:lvlText w:val="%1.%2.%3.%4.%5.%6."/>
      <w:lvlJc w:val="left"/>
      <w:pPr>
        <w:tabs>
          <w:tab w:val="num" w:pos="1440"/>
        </w:tabs>
        <w:ind w:left="1296" w:hanging="936"/>
      </w:pPr>
      <w:rPr>
        <w:rFonts w:hint="default"/>
      </w:rPr>
    </w:lvl>
    <w:lvl w:ilvl="6">
      <w:start w:val="1"/>
      <w:numFmt w:val="decimal"/>
      <w:lvlText w:val="%1.%2.%3.%4.%5.%6.%7."/>
      <w:lvlJc w:val="left"/>
      <w:pPr>
        <w:tabs>
          <w:tab w:val="num" w:pos="2160"/>
        </w:tabs>
        <w:ind w:left="1800" w:hanging="1080"/>
      </w:pPr>
      <w:rPr>
        <w:rFonts w:hint="default"/>
      </w:rPr>
    </w:lvl>
    <w:lvl w:ilvl="7">
      <w:start w:val="1"/>
      <w:numFmt w:val="decimal"/>
      <w:lvlText w:val="%1.%2.%3.%4.%5.%6.%7.%8."/>
      <w:lvlJc w:val="left"/>
      <w:pPr>
        <w:tabs>
          <w:tab w:val="num" w:pos="2520"/>
        </w:tabs>
        <w:ind w:left="2304" w:hanging="1224"/>
      </w:pPr>
      <w:rPr>
        <w:rFonts w:hint="default"/>
      </w:rPr>
    </w:lvl>
    <w:lvl w:ilvl="8">
      <w:start w:val="1"/>
      <w:numFmt w:val="decimal"/>
      <w:lvlText w:val="%1.%2.%3.%4.%5.%6.%7.%8.%9."/>
      <w:lvlJc w:val="left"/>
      <w:pPr>
        <w:tabs>
          <w:tab w:val="num" w:pos="3240"/>
        </w:tabs>
        <w:ind w:left="2880" w:hanging="1440"/>
      </w:pPr>
      <w:rPr>
        <w:rFont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5"/>
  </w:num>
  <w:num w:numId="3">
    <w:abstractNumId w:val="8"/>
  </w:num>
  <w:num w:numId="4">
    <w:abstractNumId w:val="18"/>
  </w:num>
  <w:num w:numId="5">
    <w:abstractNumId w:val="10"/>
  </w:num>
  <w:num w:numId="6">
    <w:abstractNumId w:val="3"/>
  </w:num>
  <w:num w:numId="7">
    <w:abstractNumId w:val="14"/>
  </w:num>
  <w:num w:numId="8">
    <w:abstractNumId w:val="9"/>
  </w:num>
  <w:num w:numId="9">
    <w:abstractNumId w:val="17"/>
  </w:num>
  <w:num w:numId="10">
    <w:abstractNumId w:val="4"/>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6"/>
  </w:num>
  <w:num w:numId="22">
    <w:abstractNumId w:val="0"/>
  </w:num>
  <w:num w:numId="23">
    <w:abstractNumId w:val="7"/>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7214"/>
    <w:rsid w:val="000021DC"/>
    <w:rsid w:val="0000737B"/>
    <w:rsid w:val="0001134B"/>
    <w:rsid w:val="000114D3"/>
    <w:rsid w:val="00046C8E"/>
    <w:rsid w:val="0006675C"/>
    <w:rsid w:val="0007651F"/>
    <w:rsid w:val="00081305"/>
    <w:rsid w:val="000848E7"/>
    <w:rsid w:val="000A42AA"/>
    <w:rsid w:val="001028D9"/>
    <w:rsid w:val="00106076"/>
    <w:rsid w:val="00127C79"/>
    <w:rsid w:val="001426F7"/>
    <w:rsid w:val="0017495A"/>
    <w:rsid w:val="001A6205"/>
    <w:rsid w:val="001B705C"/>
    <w:rsid w:val="001C3E5C"/>
    <w:rsid w:val="001C509D"/>
    <w:rsid w:val="001E0C92"/>
    <w:rsid w:val="001F47CC"/>
    <w:rsid w:val="00206958"/>
    <w:rsid w:val="002517FD"/>
    <w:rsid w:val="00263542"/>
    <w:rsid w:val="002748DF"/>
    <w:rsid w:val="002B26AB"/>
    <w:rsid w:val="002B73AE"/>
    <w:rsid w:val="002C0F7B"/>
    <w:rsid w:val="002C403D"/>
    <w:rsid w:val="002E4302"/>
    <w:rsid w:val="002F4952"/>
    <w:rsid w:val="0030109A"/>
    <w:rsid w:val="00327698"/>
    <w:rsid w:val="003552CC"/>
    <w:rsid w:val="00355C7F"/>
    <w:rsid w:val="003A36E9"/>
    <w:rsid w:val="003A7389"/>
    <w:rsid w:val="003D3E99"/>
    <w:rsid w:val="003E2CD4"/>
    <w:rsid w:val="00402A1B"/>
    <w:rsid w:val="00424038"/>
    <w:rsid w:val="0045228F"/>
    <w:rsid w:val="00454471"/>
    <w:rsid w:val="0045726B"/>
    <w:rsid w:val="0047055A"/>
    <w:rsid w:val="00480ABD"/>
    <w:rsid w:val="004818FE"/>
    <w:rsid w:val="00492429"/>
    <w:rsid w:val="004C432D"/>
    <w:rsid w:val="004C43D4"/>
    <w:rsid w:val="004C5609"/>
    <w:rsid w:val="004E07A5"/>
    <w:rsid w:val="004E3711"/>
    <w:rsid w:val="00500C2B"/>
    <w:rsid w:val="00520D3B"/>
    <w:rsid w:val="005333C9"/>
    <w:rsid w:val="005575B0"/>
    <w:rsid w:val="00573601"/>
    <w:rsid w:val="00574488"/>
    <w:rsid w:val="00576C66"/>
    <w:rsid w:val="005A4489"/>
    <w:rsid w:val="005C301C"/>
    <w:rsid w:val="005C41DA"/>
    <w:rsid w:val="005F32A5"/>
    <w:rsid w:val="005F41CD"/>
    <w:rsid w:val="00605DD3"/>
    <w:rsid w:val="00606550"/>
    <w:rsid w:val="00607EE7"/>
    <w:rsid w:val="00614636"/>
    <w:rsid w:val="00626C83"/>
    <w:rsid w:val="00640260"/>
    <w:rsid w:val="00643351"/>
    <w:rsid w:val="0066119D"/>
    <w:rsid w:val="00667DCD"/>
    <w:rsid w:val="006A5AED"/>
    <w:rsid w:val="006A66F3"/>
    <w:rsid w:val="006B7CF1"/>
    <w:rsid w:val="006D70A3"/>
    <w:rsid w:val="006E7214"/>
    <w:rsid w:val="00707021"/>
    <w:rsid w:val="00724CA7"/>
    <w:rsid w:val="00734EDE"/>
    <w:rsid w:val="007633C2"/>
    <w:rsid w:val="0077704B"/>
    <w:rsid w:val="0078194F"/>
    <w:rsid w:val="00782E76"/>
    <w:rsid w:val="0078695C"/>
    <w:rsid w:val="007E61DB"/>
    <w:rsid w:val="0080520B"/>
    <w:rsid w:val="0081723D"/>
    <w:rsid w:val="00844E06"/>
    <w:rsid w:val="0087342F"/>
    <w:rsid w:val="008A07C3"/>
    <w:rsid w:val="008B1F06"/>
    <w:rsid w:val="008D764D"/>
    <w:rsid w:val="008F52AA"/>
    <w:rsid w:val="008F6547"/>
    <w:rsid w:val="00903F45"/>
    <w:rsid w:val="00910F0B"/>
    <w:rsid w:val="00962412"/>
    <w:rsid w:val="0097166A"/>
    <w:rsid w:val="009769C9"/>
    <w:rsid w:val="009A3215"/>
    <w:rsid w:val="009A33B4"/>
    <w:rsid w:val="009B583A"/>
    <w:rsid w:val="009C14BE"/>
    <w:rsid w:val="00A00872"/>
    <w:rsid w:val="00A5084B"/>
    <w:rsid w:val="00A75824"/>
    <w:rsid w:val="00A90C84"/>
    <w:rsid w:val="00A97060"/>
    <w:rsid w:val="00AB4B05"/>
    <w:rsid w:val="00AC56D5"/>
    <w:rsid w:val="00AC7F2D"/>
    <w:rsid w:val="00AD584D"/>
    <w:rsid w:val="00AE4AF0"/>
    <w:rsid w:val="00B003C3"/>
    <w:rsid w:val="00B14EF0"/>
    <w:rsid w:val="00B23C01"/>
    <w:rsid w:val="00B249C3"/>
    <w:rsid w:val="00B40909"/>
    <w:rsid w:val="00B434E5"/>
    <w:rsid w:val="00B61D2B"/>
    <w:rsid w:val="00B96ADB"/>
    <w:rsid w:val="00BA5E42"/>
    <w:rsid w:val="00BD130C"/>
    <w:rsid w:val="00BF2190"/>
    <w:rsid w:val="00C023E2"/>
    <w:rsid w:val="00C101BF"/>
    <w:rsid w:val="00C246AC"/>
    <w:rsid w:val="00C26124"/>
    <w:rsid w:val="00C2678D"/>
    <w:rsid w:val="00C30192"/>
    <w:rsid w:val="00C6592D"/>
    <w:rsid w:val="00C71603"/>
    <w:rsid w:val="00C764C5"/>
    <w:rsid w:val="00C96E57"/>
    <w:rsid w:val="00CB56C3"/>
    <w:rsid w:val="00CD54C7"/>
    <w:rsid w:val="00CF64C4"/>
    <w:rsid w:val="00D05C74"/>
    <w:rsid w:val="00D6072E"/>
    <w:rsid w:val="00D8049B"/>
    <w:rsid w:val="00D83B69"/>
    <w:rsid w:val="00DA276D"/>
    <w:rsid w:val="00DB1F7C"/>
    <w:rsid w:val="00DB6C0D"/>
    <w:rsid w:val="00DC2EA6"/>
    <w:rsid w:val="00DC7E08"/>
    <w:rsid w:val="00DD5025"/>
    <w:rsid w:val="00DE2F64"/>
    <w:rsid w:val="00DE420C"/>
    <w:rsid w:val="00E02FAA"/>
    <w:rsid w:val="00E1197E"/>
    <w:rsid w:val="00E322E9"/>
    <w:rsid w:val="00E3544A"/>
    <w:rsid w:val="00E578EB"/>
    <w:rsid w:val="00E6087B"/>
    <w:rsid w:val="00E65145"/>
    <w:rsid w:val="00E85EBB"/>
    <w:rsid w:val="00EA10EB"/>
    <w:rsid w:val="00EA4B37"/>
    <w:rsid w:val="00EC7AED"/>
    <w:rsid w:val="00ED2D93"/>
    <w:rsid w:val="00F133C2"/>
    <w:rsid w:val="00F13D3F"/>
    <w:rsid w:val="00F21669"/>
    <w:rsid w:val="00F32C49"/>
    <w:rsid w:val="00F85122"/>
    <w:rsid w:val="00F8534B"/>
    <w:rsid w:val="00F9088F"/>
    <w:rsid w:val="00F92CF7"/>
    <w:rsid w:val="00FA0151"/>
    <w:rsid w:val="00FB37F2"/>
    <w:rsid w:val="00FC0982"/>
    <w:rsid w:val="00FC1057"/>
    <w:rsid w:val="00FD03DA"/>
    <w:rsid w:val="00FD49AF"/>
    <w:rsid w:val="00FD4D20"/>
    <w:rsid w:val="00FE5FC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18A14DF-2A1D-44FB-AFC9-D1F3BB53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F13D3F"/>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autoRedefine/>
    <w:rsid w:val="00F13D3F"/>
    <w:pPr>
      <w:spacing w:after="120"/>
      <w:contextualSpacing/>
    </w:pPr>
    <w:rPr>
      <w:rFonts w:cs="Arial"/>
      <w:b/>
      <w:szCs w:val="20"/>
    </w:rPr>
  </w:style>
  <w:style w:type="paragraph" w:customStyle="1" w:styleId="Anstrich">
    <w:name w:val="Anstrich"/>
    <w:basedOn w:val="Standard"/>
    <w:next w:val="Standard"/>
    <w:rsid w:val="00F13D3F"/>
    <w:pPr>
      <w:tabs>
        <w:tab w:val="left" w:pos="1021"/>
      </w:tabs>
      <w:spacing w:after="60"/>
      <w:ind w:left="1021" w:hanging="170"/>
      <w:contextualSpacing/>
      <w:jc w:val="both"/>
    </w:pPr>
  </w:style>
  <w:style w:type="paragraph" w:customStyle="1" w:styleId="Text">
    <w:name w:val="Text"/>
    <w:basedOn w:val="Standard"/>
    <w:next w:val="Standard"/>
    <w:link w:val="TextZchn"/>
    <w:rsid w:val="00F13D3F"/>
    <w:pPr>
      <w:spacing w:after="60"/>
      <w:ind w:left="851"/>
      <w:jc w:val="both"/>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F13D3F"/>
    <w:pPr>
      <w:numPr>
        <w:numId w:val="23"/>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1">
    <w:name w:val="VHB-Standard 1"/>
    <w:basedOn w:val="Standard"/>
    <w:autoRedefine/>
    <w:rsid w:val="00F13D3F"/>
    <w:pPr>
      <w:tabs>
        <w:tab w:val="left" w:pos="567"/>
      </w:tabs>
      <w:spacing w:after="60"/>
      <w:ind w:left="567"/>
      <w:jc w:val="both"/>
    </w:pPr>
    <w:rPr>
      <w:rFonts w:cs="Arial"/>
      <w:szCs w:val="20"/>
    </w:rPr>
  </w:style>
  <w:style w:type="paragraph" w:customStyle="1" w:styleId="VHBStandard2">
    <w:name w:val="VHB Standard 2"/>
    <w:basedOn w:val="Standard"/>
    <w:rsid w:val="00F13D3F"/>
    <w:pPr>
      <w:numPr>
        <w:ilvl w:val="2"/>
        <w:numId w:val="23"/>
      </w:numPr>
    </w:pPr>
  </w:style>
  <w:style w:type="paragraph" w:customStyle="1" w:styleId="VHB-Standard2">
    <w:name w:val="VHB-Standard 2"/>
    <w:autoRedefine/>
    <w:rsid w:val="00F13D3F"/>
    <w:pPr>
      <w:numPr>
        <w:ilvl w:val="1"/>
        <w:numId w:val="23"/>
      </w:numPr>
      <w:spacing w:before="120" w:after="60"/>
      <w:ind w:right="-57"/>
      <w:jc w:val="both"/>
    </w:pPr>
    <w:rPr>
      <w:rFonts w:ascii="Arial" w:hAnsi="Arial" w:cs="Arial"/>
    </w:rPr>
  </w:style>
  <w:style w:type="paragraph" w:customStyle="1" w:styleId="VHB-Aufzhlung">
    <w:name w:val="VHB-Aufzählung"/>
    <w:basedOn w:val="Liste"/>
    <w:autoRedefine/>
    <w:rsid w:val="00F13D3F"/>
    <w:pPr>
      <w:numPr>
        <w:numId w:val="24"/>
      </w:numPr>
      <w:spacing w:after="60"/>
      <w:contextualSpacing/>
    </w:pPr>
  </w:style>
  <w:style w:type="paragraph" w:styleId="Liste">
    <w:name w:val="List"/>
    <w:basedOn w:val="Standard"/>
    <w:rsid w:val="00F13D3F"/>
    <w:pPr>
      <w:ind w:left="283" w:hanging="283"/>
    </w:pPr>
  </w:style>
  <w:style w:type="paragraph" w:customStyle="1" w:styleId="Oben">
    <w:name w:val="Oben"/>
    <w:basedOn w:val="Standard"/>
    <w:next w:val="Standard"/>
    <w:rsid w:val="00F13D3F"/>
    <w:pPr>
      <w:keepNext/>
      <w:jc w:val="both"/>
    </w:pPr>
    <w:rPr>
      <w:b/>
      <w:szCs w:val="20"/>
    </w:rPr>
  </w:style>
  <w:style w:type="character" w:customStyle="1" w:styleId="TextZchn">
    <w:name w:val="Text Zchn"/>
    <w:link w:val="Text"/>
    <w:rsid w:val="00F13D3F"/>
    <w:rPr>
      <w:rFonts w:ascii="Arial" w:hAnsi="Arial"/>
      <w:szCs w:val="24"/>
      <w:lang w:val="de-DE"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213</Words>
  <Characters>1348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244 - Datenverarbeitung</vt:lpstr>
    </vt:vector>
  </TitlesOfParts>
  <Company>BBR</Company>
  <LinksUpToDate>false</LinksUpToDate>
  <CharactersWithSpaces>1558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2017-10-18T06:51:00Z</dcterms:created>
  <dc:creator>Dorothea Fenner</dc:creator>
  <cp:keywords>Datenverarbeitung; GAEB</cp:keywords>
  <cp:lastModifiedBy>Matthäus Czerner</cp:lastModifiedBy>
  <cp:lastPrinted>2010-03-03T16:09:00Z</cp:lastPrinted>
  <dcterms:modified xsi:type="dcterms:W3CDTF">2018-06-21T07:21:00Z</dcterms:modified>
  <cp:revision>5</cp:revision>
  <dc:subject>Datenverarbeitung</dc:subject>
  <dc:title>244 - Datenverarbeitung</dc:title>
</cp:coreProperties>
</file>