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LKOS 2026 - 308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Stadt Fürstenau / Neubau von zwei barrierefreien, öffentlichen Toiletten</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 xml:space="preserve">Errichtet werden sollen zwei geschlechterneutrale, freistehende Toilettenanlagen als sogenannte Einraumanlagen mit barrierefreien Unisex-WCs an den vorgenannten Standorten. Die Anlagen sollen vandalismussicher sein und mit der Möglichkeit der Nachrüstung eines Bezahlsystems für die Zahlung mit EC-Karte.
Die Anlagen sollen als komplette, anschlussfertige Bauteile angeliefert, aufgestellt und in Betrieb genommen werden. Bauseits werden die notwendigen Anschlüsse erstellt. 
Die Betreibung der Anlagen erfolgt durch den Auftraggeber.
Vorgesehener Beginn der Baumaßnahme:
Der Aufstelltermin ist im Angebot aufzuführen. Die Lieferzeit (Zeitraum von der Bestellung bis zur Fertigstellung) einer Toiletteneinheit sollte maximal 16 Wochen betragen. 
Geplante Dauer der Baumaßnahme:
Für die Aufstellung und Inbetriebnahme sind 5 Werktage geplant.
</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