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F13D3F" w:rsidRPr="00DF0395">
        <w:trPr>
          <w:trHeight w:val="284"/>
        </w:trPr>
        <w:tc>
          <w:tcPr>
            <w:tcW w:w="5541" w:type="dxa"/>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c>
          <w:tcPr>
            <w:tcW w:w="4382" w:type="dxa"/>
            <w:gridSpan w:val="2"/>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8A07C3" w:rsidP="0087342F">
            <w:pPr>
              <w:rPr>
                <w:rFonts w:cs="Arial"/>
                <w:szCs w:val="20"/>
              </w:rPr>
            </w:pPr>
            <w:r>
              <w:fldChar w:fldCharType="begin">
                <w:ffData>
                  <w:name w:val="Text3"/>
                  <w:enabled/>
                  <w:calcOnExit w:val="0"/>
                  <w:textInput>
                    <w:default w:val="${/*/n1:TenderFile/n1:referenceNumber}"/>
                  </w:textInput>
                </w:ffData>
              </w:fldChar>
            </w:r>
            <w:bookmarkStart w:id="0" w:name="Text3"/>
            <w:r>
              <w:t>LKOS 2026 - 321</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Baumaßnahme</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7"/>
                  <w:enabled/>
                  <w:calcOnExit w:val="0"/>
                  <w:textInput>
                    <w:default w:val="${/*/n1:TenderFile/n1:name}"/>
                  </w:textInput>
                </w:ffData>
              </w:fldChar>
            </w:r>
            <w:bookmarkStart w:id="1" w:name="Text7"/>
            <w:r>
              <w:t>Gemeinde Bohmte / Erweiterung der Kindertagesstätte Hummelhof - Tischlerarbeiten</w:t>
            </w:r>
            <w:bookmarkEnd w:id="1"/>
          </w:p>
        </w:tc>
      </w:tr>
      <w:tr w:rsidR="00F13D3F" w:rsidRPr="00DF0395" w:rsidTr="00FD4D20">
        <w:trPr>
          <w:trHeight w:val="237"/>
        </w:trPr>
        <w:tc>
          <w:tcPr>
            <w:tcW w:w="5541" w:type="dxa"/>
            <w:tcBorders>
              <w:top w:val="single" w:sz="4" w:space="0" w:color="808080"/>
            </w:tcBorders>
            <w:tcMar>
              <w:top w:w="28" w:type="dxa"/>
              <w:bottom w:w="28" w:type="dxa"/>
              <w:right w:w="28" w:type="dxa"/>
            </w:tcMar>
          </w:tcPr>
          <w:p w:rsidR="00F13D3F" w:rsidRPr="00DF0395" w:rsidRDefault="00C6592D" w:rsidP="0087342F">
            <w:pPr>
              <w:rPr>
                <w:rFonts w:cs="Arial"/>
                <w:szCs w:val="20"/>
              </w:rPr>
            </w:pPr>
            <w:r>
              <w:rPr>
                <w:rFonts w:cs="Arial"/>
                <w:szCs w:val="20"/>
              </w:rPr>
              <w:t>Leistung</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bookmarkStart w:id="2" w:name="_GoBack"/>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8"/>
                  <w:enabled/>
                  <w:calcOnExit w:val="0"/>
                  <w:textInput>
                    <w:default w:val="${/*/n1:AssignmentItem/n1:shortQualitativeDescription}"/>
                  </w:textInput>
                </w:ffData>
              </w:fldChar>
            </w:r>
            <w:bookmarkStart w:id="3" w:name="Text8"/>
            <w:r>
              <w:t>Die Gemeinde Bohmte plant die Erweiterung der Kindertagesstätte Hummelhof am Standort Am Kindergarten 6, 49163 Bohmte. Auf dem Grundstück der Gemarkung Herringhausen (Flur 20, Flurstück 62/1, ca. 2.199 m2) soll ein zusätzlicher Baukörper entstehen, der den wachsenden Bedarf an Betreuungsplätzen deckt und die Einrichtung zukunftsfähig macht.
Mit dem Erweiterungsbau sollen zusätzliche Räume für die Betreuung geschaffen und gleichzeitig die baulichen Strukturen an zukünftige pädagogische, funktionale und energetische Anforderungen angepasst werden. Ein besonderer Schwerpunkt liegt auf der Umsetzung von Klima- und Energieeffizienzmaßnahmen, die sowohl den sommerlichen Wärmeschutz verbessern als auch den Energiebedarf senken.
Der Erweiterungsbau wird in Massivbauweise errichtet und architektonisch an das bestehende Gebäudeensemble angepasst. Vorgesehen ist der Einbau hochwertiger Wärmeschutzfenster sowie eines außenliegenden Sonnenschutzes, um sommerliche Wärmelasten zu reduzieren. Zudem wird die technische Infrastruktur so vorbereitet, dass eine Kühlung über Fußboden- oder Deckenheizung im neuen Baukörper möglich ist.
Gegenstand dieses Vergabeverfahrens sind die hierfür erforderlichen Tischlerarbeiten.
Die ausgeschriebenen Tischlerarbeiten umfassen im Wesentlichen die Lieferung und Montage von Innentüren einschließlich Zargen, Verglasungen und Beschlägen, Brandschutz-Innenfenstern sowie WC-Trennwandanlagen.
Folgende Ausführungszeiten sind vorgesehen:
Erweiterung: 
01.03.2027 bis 26.04.2027
Bestand: 
08.07.2027 bis 18.08.2027</w:t>
            </w:r>
            <w:bookmarkEnd w:id="3"/>
            <w:bookmarkEnd w:id="2"/>
          </w:p>
        </w:tc>
      </w:tr>
    </w:tbl>
    <w:p w:rsidR="00F13D3F" w:rsidRDefault="00F13D3F" w:rsidP="00F13D3F">
      <w:pPr>
        <w:pStyle w:val="VHB-Kopfzeilentext"/>
      </w:pPr>
    </w:p>
    <w:p w:rsidR="00F13D3F" w:rsidRPr="002D47F2" w:rsidRDefault="00F13D3F" w:rsidP="00F13D3F">
      <w:pPr>
        <w:pStyle w:val="Oben"/>
      </w:pPr>
      <w:r w:rsidRPr="002D47F2">
        <w:t>Ergänzung der Aufforderung zur Abgabe eines Angebots</w:t>
      </w:r>
    </w:p>
    <w:p w:rsidR="00F13D3F" w:rsidRDefault="00F13D3F" w:rsidP="00F13D3F"/>
    <w:p w:rsidR="00F13D3F" w:rsidRDefault="00F13D3F" w:rsidP="009B583A">
      <w:pPr>
        <w:pStyle w:val="Oben"/>
        <w:rPr>
          <w:szCs w:val="19"/>
        </w:rPr>
      </w:pPr>
      <w:r w:rsidRPr="0053278C">
        <w:t>Bearbeitungsphasen, Datenaustausch, allgemeine Regelungen</w:t>
      </w:r>
    </w:p>
    <w:p w:rsidR="00F13D3F" w:rsidRPr="00F13D3F" w:rsidRDefault="00F13D3F" w:rsidP="009B583A">
      <w:pPr>
        <w:pStyle w:val="berschrift1"/>
        <w:rPr>
          <w:szCs w:val="19"/>
        </w:rPr>
      </w:pPr>
      <w:r w:rsidRPr="00F13D3F">
        <w:t>Bearbeitungsphasen</w:t>
      </w:r>
    </w:p>
    <w:p w:rsidR="00F13D3F" w:rsidRDefault="00F13D3F" w:rsidP="00F13D3F">
      <w:pPr>
        <w:pStyle w:val="Text"/>
        <w:rPr>
          <w:szCs w:val="19"/>
        </w:rPr>
      </w:pPr>
      <w:r>
        <w:t>Datenaustausch ist von der ausschreibenden Stelle / dem Auftraggeber vorgesehen für folgende Bearbeitungsphasen:</w:t>
      </w:r>
    </w:p>
    <w:p w:rsidR="00F13D3F" w:rsidRDefault="00F13D3F" w:rsidP="00F13D3F">
      <w:pPr>
        <w:pStyle w:val="Anstrich"/>
        <w:rPr>
          <w:szCs w:val="19"/>
        </w:rPr>
      </w:pPr>
      <w:r>
        <w:t>-</w:t>
      </w:r>
      <w:r>
        <w:tab/>
      </w:r>
      <w:r w:rsidRPr="0053278C">
        <w:t xml:space="preserve">Angebotsanforderung </w:t>
      </w:r>
    </w:p>
    <w:p w:rsidR="00F13D3F" w:rsidRDefault="00F13D3F" w:rsidP="00F13D3F">
      <w:pPr>
        <w:pStyle w:val="Anstrich"/>
        <w:rPr>
          <w:szCs w:val="19"/>
        </w:rPr>
      </w:pPr>
      <w:r>
        <w:t>-</w:t>
      </w:r>
      <w:r>
        <w:tab/>
      </w:r>
      <w:r w:rsidRPr="0053278C">
        <w:t xml:space="preserve">Angebotsabgabe </w:t>
      </w:r>
    </w:p>
    <w:p w:rsidR="00F13D3F" w:rsidRDefault="00F13D3F" w:rsidP="00F13D3F">
      <w:pPr>
        <w:pStyle w:val="Anstrich"/>
        <w:rPr>
          <w:szCs w:val="19"/>
        </w:rPr>
      </w:pPr>
      <w:r>
        <w:t>-</w:t>
      </w:r>
      <w:r>
        <w:tab/>
      </w:r>
      <w:r w:rsidRPr="0053278C">
        <w:t>Abrechnung</w:t>
      </w:r>
      <w:r>
        <w:t>.</w:t>
      </w:r>
    </w:p>
    <w:p w:rsidR="00F13D3F" w:rsidRPr="00F13D3F" w:rsidRDefault="00F13D3F" w:rsidP="009B583A">
      <w:pPr>
        <w:pStyle w:val="berschrift1"/>
      </w:pPr>
      <w:r w:rsidRPr="00F13D3F">
        <w:t>Datenaustausch</w:t>
      </w:r>
    </w:p>
    <w:p w:rsidR="00F13D3F" w:rsidRPr="0053278C" w:rsidRDefault="00F13D3F" w:rsidP="00F13D3F">
      <w:pPr>
        <w:pStyle w:val="Text"/>
      </w:pPr>
      <w:r>
        <w:t>Werden Angebotsdaten elektronisch ausgetauscht, erfolgt dies nach den Regelungen des Gemein</w:t>
      </w:r>
      <w:r>
        <w:softHyphen/>
        <w:t>samen Ausschusses Elektronik im Bauwesen</w:t>
      </w:r>
      <w:r w:rsidR="004C432D">
        <w:t xml:space="preserve"> </w:t>
      </w:r>
      <w:r w:rsidR="002B73AE">
        <w:t>–</w:t>
      </w:r>
      <w:r>
        <w:t xml:space="preserve"> GAEB</w:t>
      </w:r>
      <w:r w:rsidR="002B73AE">
        <w:t>, Schnittstelle</w:t>
      </w:r>
      <w:r>
        <w:t xml:space="preserve"> DA XML.</w:t>
      </w:r>
      <w:r w:rsidRPr="0053278C">
        <w:t xml:space="preserve"> Der Datenaustausch für die Abrech</w:t>
      </w:r>
      <w:r>
        <w:softHyphen/>
      </w:r>
      <w:r w:rsidRPr="0053278C">
        <w:t xml:space="preserve">nung ist nach den Verfahrensbeschreibungen der Regelungen für Elektronische Bauabrechnung durchzuführen. Der Datenaustausch nach anderen Regelungen (z.B. </w:t>
      </w:r>
      <w:proofErr w:type="spellStart"/>
      <w:r w:rsidRPr="0053278C">
        <w:t>Edifact</w:t>
      </w:r>
      <w:proofErr w:type="spellEnd"/>
      <w:r w:rsidRPr="0053278C">
        <w:t>) ist im Einzelfall zu vereinbaren.</w:t>
      </w:r>
    </w:p>
    <w:p w:rsidR="00F13D3F" w:rsidRDefault="00F13D3F" w:rsidP="00F13D3F">
      <w:pPr>
        <w:pStyle w:val="Text"/>
        <w:rPr>
          <w:szCs w:val="19"/>
        </w:rPr>
      </w:pPr>
      <w:r w:rsidRPr="0053278C">
        <w:t xml:space="preserve">Die Datenträger sind </w:t>
      </w:r>
      <w:r>
        <w:t xml:space="preserve">so </w:t>
      </w:r>
      <w:r w:rsidRPr="0053278C">
        <w:t>zu kennzeichnen</w:t>
      </w:r>
      <w:r>
        <w:t>, dass eine eindeutige Zuordnung zum Vergabeverfahren bzw. zum Vertrag gewährleistet ist</w:t>
      </w:r>
      <w:r w:rsidRPr="0053278C">
        <w:t>.</w:t>
      </w:r>
    </w:p>
    <w:p w:rsidR="00F13D3F" w:rsidRPr="00F13D3F" w:rsidRDefault="00F13D3F" w:rsidP="009B583A">
      <w:pPr>
        <w:pStyle w:val="berschrift1"/>
      </w:pPr>
      <w:r w:rsidRPr="00F13D3F">
        <w:t>Abweichungen zwischen Datenaustauschdateien und schriftlicher Fassung</w:t>
      </w:r>
    </w:p>
    <w:p w:rsidR="00F13D3F" w:rsidRDefault="00F13D3F" w:rsidP="00F13D3F">
      <w:pPr>
        <w:pStyle w:val="Text"/>
        <w:rPr>
          <w:szCs w:val="19"/>
        </w:rPr>
      </w:pPr>
      <w:r w:rsidRPr="0053278C">
        <w:t xml:space="preserve">Die </w:t>
      </w:r>
      <w:r>
        <w:t>Datenaustauschdateien</w:t>
      </w:r>
      <w:r w:rsidRPr="0053278C">
        <w:t xml:space="preserve"> gelten als Arbeitsmittel</w:t>
      </w:r>
      <w:r>
        <w:t xml:space="preserve">, es sei denn, sie werden im Rahmen eines </w:t>
      </w:r>
      <w:r w:rsidR="00C71603">
        <w:t>elektronischen</w:t>
      </w:r>
      <w:r>
        <w:t xml:space="preserve"> Vergabeverfahrens </w:t>
      </w:r>
      <w:r w:rsidR="00A97060">
        <w:t>über eine Vergabeplattform</w:t>
      </w:r>
      <w:r>
        <w:t xml:space="preserve"> ausgetauscht</w:t>
      </w:r>
      <w:r w:rsidRPr="0053278C">
        <w:t>. Bei Abwei</w:t>
      </w:r>
      <w:r>
        <w:softHyphen/>
      </w:r>
      <w:r w:rsidRPr="0053278C">
        <w:t xml:space="preserve">chungen zwischen </w:t>
      </w:r>
      <w:r>
        <w:t>den Datenaustauschdateien</w:t>
      </w:r>
      <w:r w:rsidRPr="0053278C">
        <w:t xml:space="preserve"> und der schriftlichen Fassung der Ver</w:t>
      </w:r>
      <w:r>
        <w:t>gabe</w:t>
      </w:r>
      <w:r w:rsidRPr="0053278C">
        <w:t>- oder Abrechnungsunterlagen gilt die schriftliche Fassung. Inhaltliche Unterschiede gegenüber de</w:t>
      </w:r>
      <w:r w:rsidR="00C71603">
        <w:t>m</w:t>
      </w:r>
      <w:r w:rsidRPr="0053278C">
        <w:t xml:space="preserve"> D</w:t>
      </w:r>
      <w:r w:rsidR="00206958">
        <w:t>a</w:t>
      </w:r>
      <w:r w:rsidRPr="0053278C">
        <w:t>tenträger sind vom Unternehmer in der schriftlichen Fassung zu kennzeichnen.</w:t>
      </w:r>
    </w:p>
    <w:p w:rsidR="00F13D3F" w:rsidRDefault="00F13D3F" w:rsidP="00F13D3F">
      <w:pPr>
        <w:pStyle w:val="Text"/>
        <w:rPr>
          <w:szCs w:val="19"/>
        </w:rPr>
      </w:pPr>
    </w:p>
    <w:sectPr w:rsidR="00F13D3F"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6C83" w:rsidRDefault="00626C83">
      <w:r>
        <w:separator/>
      </w:r>
    </w:p>
    <w:p w:rsidR="00626C83" w:rsidRDefault="00626C83"/>
    <w:p w:rsidR="00626C83" w:rsidRDefault="00626C83"/>
  </w:endnote>
  <w:endnote w:type="continuationSeparator" w:id="0">
    <w:p w:rsidR="00626C83" w:rsidRDefault="00626C83">
      <w:r>
        <w:continuationSeparator/>
      </w:r>
    </w:p>
    <w:p w:rsidR="00626C83" w:rsidRDefault="00626C83"/>
    <w:p w:rsidR="00626C83" w:rsidRDefault="00626C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F8534B" w:rsidRPr="00D6072E" w:rsidTr="00C6592D">
      <w:trPr>
        <w:cantSplit/>
        <w:trHeight w:hRule="exact" w:val="397"/>
      </w:trPr>
      <w:tc>
        <w:tcPr>
          <w:tcW w:w="147" w:type="dxa"/>
          <w:vAlign w:val="center"/>
        </w:tcPr>
        <w:p w:rsidR="00F8534B" w:rsidRPr="00D6072E" w:rsidRDefault="00F8534B" w:rsidP="00D6072E">
          <w:pPr>
            <w:jc w:val="center"/>
            <w:rPr>
              <w:b/>
              <w:sz w:val="16"/>
              <w:szCs w:val="16"/>
            </w:rPr>
          </w:pPr>
          <w:r w:rsidRPr="00D6072E">
            <w:rPr>
              <w:rFonts w:cs="Arial"/>
              <w:b/>
              <w:sz w:val="16"/>
              <w:szCs w:val="16"/>
            </w:rPr>
            <w:t>©</w:t>
          </w:r>
        </w:p>
      </w:tc>
      <w:tc>
        <w:tcPr>
          <w:tcW w:w="621" w:type="dxa"/>
          <w:vAlign w:val="center"/>
        </w:tcPr>
        <w:p w:rsidR="00F8534B" w:rsidRPr="00D6072E" w:rsidRDefault="00CB56C3" w:rsidP="00D6072E">
          <w:pPr>
            <w:jc w:val="center"/>
            <w:rPr>
              <w:b/>
              <w:sz w:val="16"/>
              <w:szCs w:val="16"/>
            </w:rPr>
          </w:pPr>
          <w:r>
            <w:rPr>
              <w:rFonts w:cs="Arial"/>
              <w:b/>
              <w:noProof/>
              <w:sz w:val="16"/>
              <w:szCs w:val="16"/>
            </w:rPr>
            <w:drawing>
              <wp:inline distT="0" distB="0" distL="0" distR="0" wp14:anchorId="0BCC88BE" wp14:editId="40A69AB8">
                <wp:extent cx="364490" cy="254000"/>
                <wp:effectExtent l="0" t="0" r="0" b="0"/>
                <wp:docPr id="2" name="Bild 1" descr="Bundesadler mit VHB-Schriftzug zur Identifizierung als Formblatt des Vergabe- und Vertragshandbuches für Baumaßnahmen des Bundes" title="VHB-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0" cy="254000"/>
                        </a:xfrm>
                        <a:prstGeom prst="rect">
                          <a:avLst/>
                        </a:prstGeom>
                        <a:noFill/>
                        <a:ln>
                          <a:noFill/>
                        </a:ln>
                      </pic:spPr>
                    </pic:pic>
                  </a:graphicData>
                </a:graphic>
              </wp:inline>
            </w:drawing>
          </w:r>
        </w:p>
      </w:tc>
      <w:tc>
        <w:tcPr>
          <w:tcW w:w="7512" w:type="dxa"/>
          <w:vAlign w:val="center"/>
        </w:tcPr>
        <w:p w:rsidR="00F8534B" w:rsidRPr="00D6072E" w:rsidRDefault="00F8534B" w:rsidP="00707021">
          <w:pPr>
            <w:tabs>
              <w:tab w:val="left" w:pos="84"/>
            </w:tabs>
            <w:rPr>
              <w:rFonts w:cs="Arial"/>
              <w:b/>
              <w:sz w:val="16"/>
              <w:szCs w:val="16"/>
            </w:rPr>
          </w:pPr>
          <w:r w:rsidRPr="00D6072E">
            <w:rPr>
              <w:rFonts w:cs="Arial"/>
              <w:b/>
              <w:sz w:val="16"/>
              <w:szCs w:val="16"/>
            </w:rPr>
            <w:tab/>
            <w:t xml:space="preserve">VHB - Bund - Ausgabe </w:t>
          </w:r>
          <w:r w:rsidR="00206958">
            <w:rPr>
              <w:rFonts w:cs="Arial"/>
              <w:b/>
              <w:sz w:val="16"/>
              <w:szCs w:val="16"/>
            </w:rPr>
            <w:t>201</w:t>
          </w:r>
          <w:r w:rsidR="00707021">
            <w:rPr>
              <w:rFonts w:cs="Arial"/>
              <w:b/>
              <w:sz w:val="16"/>
              <w:szCs w:val="16"/>
            </w:rPr>
            <w:t>7</w:t>
          </w:r>
        </w:p>
      </w:tc>
      <w:tc>
        <w:tcPr>
          <w:tcW w:w="1440" w:type="dxa"/>
          <w:vAlign w:val="center"/>
        </w:tcPr>
        <w:p w:rsidR="00F8534B" w:rsidRPr="00D6072E" w:rsidRDefault="00F8534B"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p>
      </w:tc>
    </w:tr>
  </w:tbl>
  <w:p w:rsidR="00F8534B" w:rsidRPr="00046C8E" w:rsidRDefault="00F853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6C83" w:rsidRDefault="00626C83">
      <w:r>
        <w:separator/>
      </w:r>
    </w:p>
    <w:p w:rsidR="00626C83" w:rsidRDefault="00626C83"/>
    <w:p w:rsidR="00626C83" w:rsidRDefault="00626C83"/>
  </w:footnote>
  <w:footnote w:type="continuationSeparator" w:id="0">
    <w:p w:rsidR="00626C83" w:rsidRDefault="00626C83">
      <w:r>
        <w:continuationSeparator/>
      </w:r>
    </w:p>
    <w:p w:rsidR="00626C83" w:rsidRDefault="00626C83"/>
    <w:p w:rsidR="00626C83" w:rsidRDefault="00626C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p w:rsidR="00F8534B" w:rsidRDefault="00F853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rsidP="00046C8E">
    <w:pPr>
      <w:pStyle w:val="Kopfzeile"/>
    </w:pPr>
    <w:r>
      <w:t>244</w:t>
    </w:r>
  </w:p>
  <w:p w:rsidR="00F8534B" w:rsidRPr="00AB4B05" w:rsidRDefault="00F8534B" w:rsidP="00AB4B05">
    <w:pPr>
      <w:pStyle w:val="UnterKopfzeile"/>
    </w:pPr>
    <w:r>
      <w:t>(Datenverarbeitung)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6DA6D5C2"/>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650CF3"/>
    <w:multiLevelType w:val="multilevel"/>
    <w:tmpl w:val="0FEC3EE6"/>
    <w:lvl w:ilvl="0">
      <w:start w:val="1"/>
      <w:numFmt w:val="decimal"/>
      <w:pStyle w:val="VHB-berschrift1"/>
      <w:lvlText w:val="%1"/>
      <w:lvlJc w:val="left"/>
      <w:pPr>
        <w:tabs>
          <w:tab w:val="num" w:pos="567"/>
        </w:tabs>
        <w:ind w:left="567" w:hanging="567"/>
      </w:pPr>
      <w:rPr>
        <w:rFonts w:hint="default"/>
        <w:sz w:val="20"/>
        <w:szCs w:val="20"/>
      </w:rPr>
    </w:lvl>
    <w:lvl w:ilvl="1">
      <w:start w:val="1"/>
      <w:numFmt w:val="decimal"/>
      <w:pStyle w:val="VHB-Standard2"/>
      <w:lvlText w:val="%1.%2"/>
      <w:lvlJc w:val="left"/>
      <w:pPr>
        <w:tabs>
          <w:tab w:val="num" w:pos="567"/>
        </w:tabs>
        <w:ind w:left="567" w:hanging="567"/>
      </w:pPr>
      <w:rPr>
        <w:rFonts w:hint="default"/>
      </w:rPr>
    </w:lvl>
    <w:lvl w:ilvl="2">
      <w:start w:val="1"/>
      <w:numFmt w:val="decimal"/>
      <w:pStyle w:val="VHBStandard2"/>
      <w:lvlText w:val="%1.%2.%3"/>
      <w:lvlJc w:val="left"/>
      <w:pPr>
        <w:tabs>
          <w:tab w:val="num" w:pos="851"/>
        </w:tabs>
        <w:ind w:left="851" w:hanging="851"/>
      </w:pPr>
      <w:rPr>
        <w:rFonts w:hint="default"/>
        <w:b w:val="0"/>
        <w:szCs w:val="20"/>
      </w:rPr>
    </w:lvl>
    <w:lvl w:ilvl="3">
      <w:start w:val="1"/>
      <w:numFmt w:val="decimal"/>
      <w:lvlText w:val="%1.%2.%3.%4"/>
      <w:lvlJc w:val="left"/>
      <w:pPr>
        <w:tabs>
          <w:tab w:val="num" w:pos="851"/>
        </w:tabs>
        <w:ind w:left="851" w:hanging="851"/>
      </w:pPr>
      <w:rPr>
        <w:rFonts w:hint="default"/>
        <w:b w:val="0"/>
        <w:szCs w:val="20"/>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1440"/>
        </w:tabs>
        <w:ind w:left="1296" w:hanging="936"/>
      </w:pPr>
      <w:rPr>
        <w:rFonts w:hint="default"/>
      </w:rPr>
    </w:lvl>
    <w:lvl w:ilvl="6">
      <w:start w:val="1"/>
      <w:numFmt w:val="decimal"/>
      <w:lvlText w:val="%1.%2.%3.%4.%5.%6.%7."/>
      <w:lvlJc w:val="left"/>
      <w:pPr>
        <w:tabs>
          <w:tab w:val="num" w:pos="2160"/>
        </w:tabs>
        <w:ind w:left="1800" w:hanging="1080"/>
      </w:pPr>
      <w:rPr>
        <w:rFonts w:hint="default"/>
      </w:rPr>
    </w:lvl>
    <w:lvl w:ilvl="7">
      <w:start w:val="1"/>
      <w:numFmt w:val="decimal"/>
      <w:lvlText w:val="%1.%2.%3.%4.%5.%6.%7.%8."/>
      <w:lvlJc w:val="left"/>
      <w:pPr>
        <w:tabs>
          <w:tab w:val="num" w:pos="2520"/>
        </w:tabs>
        <w:ind w:left="2304" w:hanging="1224"/>
      </w:pPr>
      <w:rPr>
        <w:rFonts w:hint="default"/>
      </w:rPr>
    </w:lvl>
    <w:lvl w:ilvl="8">
      <w:start w:val="1"/>
      <w:numFmt w:val="decimal"/>
      <w:lvlText w:val="%1.%2.%3.%4.%5.%6.%7.%8.%9."/>
      <w:lvlJc w:val="left"/>
      <w:pPr>
        <w:tabs>
          <w:tab w:val="num" w:pos="3240"/>
        </w:tabs>
        <w:ind w:left="2880" w:hanging="1440"/>
      </w:pPr>
      <w:rPr>
        <w:rFont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5"/>
  </w:num>
  <w:num w:numId="3">
    <w:abstractNumId w:val="8"/>
  </w:num>
  <w:num w:numId="4">
    <w:abstractNumId w:val="18"/>
  </w:num>
  <w:num w:numId="5">
    <w:abstractNumId w:val="10"/>
  </w:num>
  <w:num w:numId="6">
    <w:abstractNumId w:val="3"/>
  </w:num>
  <w:num w:numId="7">
    <w:abstractNumId w:val="14"/>
  </w:num>
  <w:num w:numId="8">
    <w:abstractNumId w:val="9"/>
  </w:num>
  <w:num w:numId="9">
    <w:abstractNumId w:val="17"/>
  </w:num>
  <w:num w:numId="10">
    <w:abstractNumId w:val="4"/>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6"/>
  </w:num>
  <w:num w:numId="22">
    <w:abstractNumId w:val="0"/>
  </w:num>
  <w:num w:numId="23">
    <w:abstractNumId w:val="7"/>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7214"/>
    <w:rsid w:val="000021DC"/>
    <w:rsid w:val="0000737B"/>
    <w:rsid w:val="0001134B"/>
    <w:rsid w:val="000114D3"/>
    <w:rsid w:val="00046C8E"/>
    <w:rsid w:val="0006675C"/>
    <w:rsid w:val="0007651F"/>
    <w:rsid w:val="00081305"/>
    <w:rsid w:val="000848E7"/>
    <w:rsid w:val="000A42AA"/>
    <w:rsid w:val="001028D9"/>
    <w:rsid w:val="00106076"/>
    <w:rsid w:val="00127C79"/>
    <w:rsid w:val="001426F7"/>
    <w:rsid w:val="0017495A"/>
    <w:rsid w:val="001A6205"/>
    <w:rsid w:val="001B705C"/>
    <w:rsid w:val="001C3E5C"/>
    <w:rsid w:val="001C509D"/>
    <w:rsid w:val="001E0C92"/>
    <w:rsid w:val="001F47CC"/>
    <w:rsid w:val="00206958"/>
    <w:rsid w:val="002517FD"/>
    <w:rsid w:val="00263542"/>
    <w:rsid w:val="002748DF"/>
    <w:rsid w:val="002B26AB"/>
    <w:rsid w:val="002B73AE"/>
    <w:rsid w:val="002C0F7B"/>
    <w:rsid w:val="002C403D"/>
    <w:rsid w:val="002E4302"/>
    <w:rsid w:val="002F4952"/>
    <w:rsid w:val="0030109A"/>
    <w:rsid w:val="00327698"/>
    <w:rsid w:val="003552CC"/>
    <w:rsid w:val="00355C7F"/>
    <w:rsid w:val="003A36E9"/>
    <w:rsid w:val="003A7389"/>
    <w:rsid w:val="003D3E99"/>
    <w:rsid w:val="003E2CD4"/>
    <w:rsid w:val="00402A1B"/>
    <w:rsid w:val="00424038"/>
    <w:rsid w:val="0045228F"/>
    <w:rsid w:val="00454471"/>
    <w:rsid w:val="0045726B"/>
    <w:rsid w:val="0047055A"/>
    <w:rsid w:val="00480ABD"/>
    <w:rsid w:val="004818FE"/>
    <w:rsid w:val="00492429"/>
    <w:rsid w:val="004C432D"/>
    <w:rsid w:val="004C43D4"/>
    <w:rsid w:val="004C5609"/>
    <w:rsid w:val="004E07A5"/>
    <w:rsid w:val="004E3711"/>
    <w:rsid w:val="00500C2B"/>
    <w:rsid w:val="00520D3B"/>
    <w:rsid w:val="005333C9"/>
    <w:rsid w:val="005575B0"/>
    <w:rsid w:val="00573601"/>
    <w:rsid w:val="00574488"/>
    <w:rsid w:val="00576C66"/>
    <w:rsid w:val="005A4489"/>
    <w:rsid w:val="005C301C"/>
    <w:rsid w:val="005C41DA"/>
    <w:rsid w:val="005F32A5"/>
    <w:rsid w:val="005F41CD"/>
    <w:rsid w:val="00605DD3"/>
    <w:rsid w:val="00606550"/>
    <w:rsid w:val="00607EE7"/>
    <w:rsid w:val="00614636"/>
    <w:rsid w:val="00626C83"/>
    <w:rsid w:val="00640260"/>
    <w:rsid w:val="00643351"/>
    <w:rsid w:val="0066119D"/>
    <w:rsid w:val="00667DCD"/>
    <w:rsid w:val="006A5AED"/>
    <w:rsid w:val="006A66F3"/>
    <w:rsid w:val="006B7CF1"/>
    <w:rsid w:val="006D70A3"/>
    <w:rsid w:val="006E7214"/>
    <w:rsid w:val="00707021"/>
    <w:rsid w:val="00724CA7"/>
    <w:rsid w:val="00734EDE"/>
    <w:rsid w:val="007633C2"/>
    <w:rsid w:val="0077704B"/>
    <w:rsid w:val="0078194F"/>
    <w:rsid w:val="00782E76"/>
    <w:rsid w:val="0078695C"/>
    <w:rsid w:val="007E61DB"/>
    <w:rsid w:val="0080520B"/>
    <w:rsid w:val="0081723D"/>
    <w:rsid w:val="00844E06"/>
    <w:rsid w:val="0087342F"/>
    <w:rsid w:val="008A07C3"/>
    <w:rsid w:val="008B1F06"/>
    <w:rsid w:val="008D764D"/>
    <w:rsid w:val="008F52AA"/>
    <w:rsid w:val="008F6547"/>
    <w:rsid w:val="00903F45"/>
    <w:rsid w:val="00910F0B"/>
    <w:rsid w:val="00962412"/>
    <w:rsid w:val="0097166A"/>
    <w:rsid w:val="009769C9"/>
    <w:rsid w:val="009A3215"/>
    <w:rsid w:val="009A33B4"/>
    <w:rsid w:val="009B583A"/>
    <w:rsid w:val="009C14BE"/>
    <w:rsid w:val="00A00872"/>
    <w:rsid w:val="00A5084B"/>
    <w:rsid w:val="00A75824"/>
    <w:rsid w:val="00A90C84"/>
    <w:rsid w:val="00A97060"/>
    <w:rsid w:val="00AB4B05"/>
    <w:rsid w:val="00AC56D5"/>
    <w:rsid w:val="00AC7F2D"/>
    <w:rsid w:val="00AD584D"/>
    <w:rsid w:val="00AE4AF0"/>
    <w:rsid w:val="00B003C3"/>
    <w:rsid w:val="00B14EF0"/>
    <w:rsid w:val="00B23C01"/>
    <w:rsid w:val="00B249C3"/>
    <w:rsid w:val="00B40909"/>
    <w:rsid w:val="00B434E5"/>
    <w:rsid w:val="00B61D2B"/>
    <w:rsid w:val="00B96ADB"/>
    <w:rsid w:val="00BA5E42"/>
    <w:rsid w:val="00BD130C"/>
    <w:rsid w:val="00BF2190"/>
    <w:rsid w:val="00C023E2"/>
    <w:rsid w:val="00C101BF"/>
    <w:rsid w:val="00C246AC"/>
    <w:rsid w:val="00C26124"/>
    <w:rsid w:val="00C2678D"/>
    <w:rsid w:val="00C30192"/>
    <w:rsid w:val="00C6592D"/>
    <w:rsid w:val="00C71603"/>
    <w:rsid w:val="00C764C5"/>
    <w:rsid w:val="00C96E57"/>
    <w:rsid w:val="00CB56C3"/>
    <w:rsid w:val="00CD54C7"/>
    <w:rsid w:val="00CF64C4"/>
    <w:rsid w:val="00D05C74"/>
    <w:rsid w:val="00D6072E"/>
    <w:rsid w:val="00D8049B"/>
    <w:rsid w:val="00D83B69"/>
    <w:rsid w:val="00DA276D"/>
    <w:rsid w:val="00DB1F7C"/>
    <w:rsid w:val="00DB6C0D"/>
    <w:rsid w:val="00DC2EA6"/>
    <w:rsid w:val="00DC7E08"/>
    <w:rsid w:val="00DD5025"/>
    <w:rsid w:val="00DE2F64"/>
    <w:rsid w:val="00DE420C"/>
    <w:rsid w:val="00E02FAA"/>
    <w:rsid w:val="00E1197E"/>
    <w:rsid w:val="00E322E9"/>
    <w:rsid w:val="00E3544A"/>
    <w:rsid w:val="00E578EB"/>
    <w:rsid w:val="00E6087B"/>
    <w:rsid w:val="00E65145"/>
    <w:rsid w:val="00E85EBB"/>
    <w:rsid w:val="00EA10EB"/>
    <w:rsid w:val="00EA4B37"/>
    <w:rsid w:val="00EC7AED"/>
    <w:rsid w:val="00ED2D93"/>
    <w:rsid w:val="00F133C2"/>
    <w:rsid w:val="00F13D3F"/>
    <w:rsid w:val="00F21669"/>
    <w:rsid w:val="00F32C49"/>
    <w:rsid w:val="00F85122"/>
    <w:rsid w:val="00F8534B"/>
    <w:rsid w:val="00F9088F"/>
    <w:rsid w:val="00F92CF7"/>
    <w:rsid w:val="00FA0151"/>
    <w:rsid w:val="00FB37F2"/>
    <w:rsid w:val="00FC0982"/>
    <w:rsid w:val="00FC1057"/>
    <w:rsid w:val="00FD03DA"/>
    <w:rsid w:val="00FD49AF"/>
    <w:rsid w:val="00FD4D20"/>
    <w:rsid w:val="00FE5F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18A14DF-2A1D-44FB-AFC9-D1F3BB53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F13D3F"/>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autoRedefine/>
    <w:rsid w:val="00F13D3F"/>
    <w:pPr>
      <w:spacing w:after="120"/>
      <w:contextualSpacing/>
    </w:pPr>
    <w:rPr>
      <w:rFonts w:cs="Arial"/>
      <w:b/>
      <w:szCs w:val="20"/>
    </w:rPr>
  </w:style>
  <w:style w:type="paragraph" w:customStyle="1" w:styleId="Anstrich">
    <w:name w:val="Anstrich"/>
    <w:basedOn w:val="Standard"/>
    <w:next w:val="Standard"/>
    <w:rsid w:val="00F13D3F"/>
    <w:pPr>
      <w:tabs>
        <w:tab w:val="left" w:pos="1021"/>
      </w:tabs>
      <w:spacing w:after="60"/>
      <w:ind w:left="1021" w:hanging="170"/>
      <w:contextualSpacing/>
      <w:jc w:val="both"/>
    </w:pPr>
  </w:style>
  <w:style w:type="paragraph" w:customStyle="1" w:styleId="Text">
    <w:name w:val="Text"/>
    <w:basedOn w:val="Standard"/>
    <w:next w:val="Standard"/>
    <w:link w:val="TextZchn"/>
    <w:rsid w:val="00F13D3F"/>
    <w:pPr>
      <w:spacing w:after="60"/>
      <w:ind w:left="851"/>
      <w:jc w:val="both"/>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F13D3F"/>
    <w:pPr>
      <w:numPr>
        <w:numId w:val="23"/>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1">
    <w:name w:val="VHB-Standard 1"/>
    <w:basedOn w:val="Standard"/>
    <w:autoRedefine/>
    <w:rsid w:val="00F13D3F"/>
    <w:pPr>
      <w:tabs>
        <w:tab w:val="left" w:pos="567"/>
      </w:tabs>
      <w:spacing w:after="60"/>
      <w:ind w:left="567"/>
      <w:jc w:val="both"/>
    </w:pPr>
    <w:rPr>
      <w:rFonts w:cs="Arial"/>
      <w:szCs w:val="20"/>
    </w:rPr>
  </w:style>
  <w:style w:type="paragraph" w:customStyle="1" w:styleId="VHBStandard2">
    <w:name w:val="VHB Standard 2"/>
    <w:basedOn w:val="Standard"/>
    <w:rsid w:val="00F13D3F"/>
    <w:pPr>
      <w:numPr>
        <w:ilvl w:val="2"/>
        <w:numId w:val="23"/>
      </w:numPr>
    </w:pPr>
  </w:style>
  <w:style w:type="paragraph" w:customStyle="1" w:styleId="VHB-Standard2">
    <w:name w:val="VHB-Standard 2"/>
    <w:autoRedefine/>
    <w:rsid w:val="00F13D3F"/>
    <w:pPr>
      <w:numPr>
        <w:ilvl w:val="1"/>
        <w:numId w:val="23"/>
      </w:numPr>
      <w:spacing w:before="120" w:after="60"/>
      <w:ind w:right="-57"/>
      <w:jc w:val="both"/>
    </w:pPr>
    <w:rPr>
      <w:rFonts w:ascii="Arial" w:hAnsi="Arial" w:cs="Arial"/>
    </w:rPr>
  </w:style>
  <w:style w:type="paragraph" w:customStyle="1" w:styleId="VHB-Aufzhlung">
    <w:name w:val="VHB-Aufzählung"/>
    <w:basedOn w:val="Liste"/>
    <w:autoRedefine/>
    <w:rsid w:val="00F13D3F"/>
    <w:pPr>
      <w:numPr>
        <w:numId w:val="24"/>
      </w:numPr>
      <w:spacing w:after="60"/>
      <w:contextualSpacing/>
    </w:pPr>
  </w:style>
  <w:style w:type="paragraph" w:styleId="Liste">
    <w:name w:val="List"/>
    <w:basedOn w:val="Standard"/>
    <w:rsid w:val="00F13D3F"/>
    <w:pPr>
      <w:ind w:left="283" w:hanging="283"/>
    </w:pPr>
  </w:style>
  <w:style w:type="paragraph" w:customStyle="1" w:styleId="Oben">
    <w:name w:val="Oben"/>
    <w:basedOn w:val="Standard"/>
    <w:next w:val="Standard"/>
    <w:rsid w:val="00F13D3F"/>
    <w:pPr>
      <w:keepNext/>
      <w:jc w:val="both"/>
    </w:pPr>
    <w:rPr>
      <w:b/>
      <w:szCs w:val="20"/>
    </w:rPr>
  </w:style>
  <w:style w:type="character" w:customStyle="1" w:styleId="TextZchn">
    <w:name w:val="Text Zchn"/>
    <w:link w:val="Text"/>
    <w:rsid w:val="00F13D3F"/>
    <w:rPr>
      <w:rFonts w:ascii="Arial" w:hAnsi="Arial"/>
      <w:szCs w:val="24"/>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213</Words>
  <Characters>1348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244 - Datenverarbeitung</vt:lpstr>
    </vt:vector>
  </TitlesOfParts>
  <Company>BBR</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2017-10-18T06:51:00Z</dcterms:created>
  <dc:creator>Dorothea Fenner</dc:creator>
  <cp:keywords>Datenverarbeitung; GAEB</cp:keywords>
  <cp:lastModifiedBy>Matthäus Czerner</cp:lastModifiedBy>
  <cp:lastPrinted>2010-03-03T16:09:00Z</cp:lastPrinted>
  <dcterms:modified xsi:type="dcterms:W3CDTF">2018-06-21T07:21:00Z</dcterms:modified>
  <cp:revision>5</cp:revision>
  <dc:subject>Datenverarbeitung</dc:subject>
  <dc:title>244 - Datenverarbeitung</dc:title>
</cp:coreProperties>
</file>