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2026-VOBEU-23/5-021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der Friedensschule; Festeinbauten, Tischlerarbeiten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Neubau der Friedensschule, Festeinbauten; Tischlerarbeiten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